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87" w:rsidRPr="007056E2" w:rsidRDefault="00C25287" w:rsidP="00E44DE8">
      <w:pPr>
        <w:spacing w:after="240"/>
        <w:jc w:val="both"/>
        <w:rPr>
          <w:rFonts w:ascii="Arial" w:hAnsi="Arial" w:cs="Arial"/>
          <w:sz w:val="24"/>
          <w:szCs w:val="24"/>
        </w:rPr>
      </w:pPr>
      <w:r w:rsidRPr="007056E2">
        <w:rPr>
          <w:rFonts w:ascii="Arial" w:hAnsi="Arial" w:cs="Arial"/>
          <w:sz w:val="24"/>
          <w:szCs w:val="24"/>
        </w:rPr>
        <w:t>En su estudio sobre Integridad en México (2017), la Organización para la Cooperación y Desarrollo Económico (OCDE) propone definir valores comunes y normas concretas de conducta para ser adoptados por todos los se</w:t>
      </w:r>
      <w:bookmarkStart w:id="0" w:name="_GoBack"/>
      <w:bookmarkEnd w:id="0"/>
      <w:r w:rsidRPr="007056E2">
        <w:rPr>
          <w:rFonts w:ascii="Arial" w:hAnsi="Arial" w:cs="Arial"/>
          <w:sz w:val="24"/>
          <w:szCs w:val="24"/>
        </w:rPr>
        <w:t>rvidores públicos en su trabajo cotidiano.</w:t>
      </w:r>
    </w:p>
    <w:p w:rsidR="00C25287" w:rsidRPr="007056E2" w:rsidRDefault="00C25287" w:rsidP="00E44DE8">
      <w:pPr>
        <w:spacing w:after="240"/>
        <w:jc w:val="both"/>
        <w:rPr>
          <w:rFonts w:ascii="Arial" w:hAnsi="Arial" w:cs="Arial"/>
          <w:sz w:val="24"/>
          <w:szCs w:val="24"/>
        </w:rPr>
      </w:pPr>
      <w:r w:rsidRPr="007056E2">
        <w:rPr>
          <w:rFonts w:ascii="Arial" w:hAnsi="Arial" w:cs="Arial"/>
          <w:sz w:val="24"/>
          <w:szCs w:val="24"/>
        </w:rPr>
        <w:t>Es una exigencia de la sociedad que los gobernantes hagamos un compromiso explícito con la transparencia y la rendición de cuentas. Que la administración de los recursos públicos se haga en el marco de reglas de integridad que nos permitan generar la confianza de los ciudadanos en sus autoridades.</w:t>
      </w:r>
    </w:p>
    <w:p w:rsidR="00C25287" w:rsidRPr="007056E2" w:rsidRDefault="00C25287" w:rsidP="00E44DE8">
      <w:pPr>
        <w:spacing w:after="240"/>
        <w:jc w:val="both"/>
        <w:rPr>
          <w:rFonts w:ascii="Arial" w:hAnsi="Arial" w:cs="Arial"/>
          <w:sz w:val="24"/>
          <w:szCs w:val="24"/>
        </w:rPr>
      </w:pPr>
      <w:r w:rsidRPr="007056E2">
        <w:rPr>
          <w:rFonts w:ascii="Arial" w:hAnsi="Arial" w:cs="Arial"/>
          <w:sz w:val="24"/>
          <w:szCs w:val="24"/>
        </w:rPr>
        <w:t xml:space="preserve">Todas las autoridades estatales del país estamos obligadas a responder a las demandas de la sociedad en torno al urgente fortalecimiento de los órganos fiscalizadores y de legislar sobre la transparencia y la rendición de cuentas. </w:t>
      </w:r>
    </w:p>
    <w:p w:rsidR="00C25287" w:rsidRPr="007056E2" w:rsidRDefault="00C25287" w:rsidP="00E44DE8">
      <w:pPr>
        <w:spacing w:after="240"/>
        <w:jc w:val="both"/>
        <w:rPr>
          <w:rFonts w:ascii="Arial" w:hAnsi="Arial" w:cs="Arial"/>
          <w:sz w:val="24"/>
          <w:szCs w:val="24"/>
        </w:rPr>
      </w:pPr>
      <w:r w:rsidRPr="007056E2">
        <w:rPr>
          <w:rFonts w:ascii="Arial" w:hAnsi="Arial" w:cs="Arial"/>
          <w:sz w:val="24"/>
          <w:szCs w:val="24"/>
        </w:rPr>
        <w:t>Los compromisos que se detallan, elaborados con base en recomendaciones del Instituto Mexicano para la Competitividad y la OCDE, requieren de modificaciones legales y administrativas para materializarlos. Cada compromiso contará con una serie de indicadores de cumplimiento y se les dará seguimiento en la Comisión de Gobiernos abiertos, Transparencia y Rendición de cuentas.</w:t>
      </w:r>
    </w:p>
    <w:p w:rsidR="00C25287" w:rsidRPr="007056E2" w:rsidRDefault="00C25287" w:rsidP="00E44DE8">
      <w:pPr>
        <w:spacing w:after="240"/>
        <w:jc w:val="both"/>
        <w:rPr>
          <w:rFonts w:ascii="Arial" w:hAnsi="Arial" w:cs="Arial"/>
          <w:b/>
          <w:sz w:val="24"/>
          <w:szCs w:val="24"/>
        </w:rPr>
      </w:pPr>
      <w:r w:rsidRPr="007056E2">
        <w:rPr>
          <w:rFonts w:ascii="Arial" w:hAnsi="Arial" w:cs="Arial"/>
          <w:b/>
          <w:sz w:val="24"/>
          <w:szCs w:val="24"/>
        </w:rPr>
        <w:t>Compromiso I</w:t>
      </w:r>
    </w:p>
    <w:p w:rsidR="00C25287" w:rsidRPr="007056E2" w:rsidRDefault="00C25287" w:rsidP="00E44DE8">
      <w:pPr>
        <w:spacing w:after="240"/>
        <w:jc w:val="both"/>
        <w:rPr>
          <w:rFonts w:ascii="Arial" w:hAnsi="Arial" w:cs="Arial"/>
          <w:sz w:val="24"/>
          <w:szCs w:val="24"/>
        </w:rPr>
      </w:pPr>
      <w:r>
        <w:rPr>
          <w:rFonts w:ascii="Arial" w:hAnsi="Arial" w:cs="Arial"/>
          <w:sz w:val="24"/>
          <w:szCs w:val="24"/>
        </w:rPr>
        <w:t>G</w:t>
      </w:r>
      <w:r w:rsidRPr="007056E2">
        <w:rPr>
          <w:rFonts w:ascii="Arial" w:hAnsi="Arial" w:cs="Arial"/>
          <w:sz w:val="24"/>
          <w:szCs w:val="24"/>
        </w:rPr>
        <w:t xml:space="preserve">arantizar que los cambios a la legislación local se realicen dentro del plazo legal establecido (18 de julio de 2017). Además, debemos asegurar que el contenido tanto de la reforma constitucional, como de la Ley del Sistema Local Anticorrupción, cumpla con requisitos mínimos de autonomía, participación ciudadana y carácter vinculatorio. </w:t>
      </w:r>
    </w:p>
    <w:p w:rsidR="00C25287" w:rsidRPr="007056E2" w:rsidRDefault="00C25287" w:rsidP="00E44DE8">
      <w:pPr>
        <w:spacing w:after="240"/>
        <w:jc w:val="both"/>
        <w:rPr>
          <w:rFonts w:ascii="Arial" w:hAnsi="Arial" w:cs="Arial"/>
          <w:b/>
          <w:sz w:val="24"/>
          <w:szCs w:val="24"/>
        </w:rPr>
      </w:pPr>
      <w:r w:rsidRPr="007056E2">
        <w:rPr>
          <w:rFonts w:ascii="Arial" w:hAnsi="Arial" w:cs="Arial"/>
          <w:b/>
          <w:sz w:val="24"/>
          <w:szCs w:val="24"/>
        </w:rPr>
        <w:t xml:space="preserve">Compromiso II </w:t>
      </w:r>
    </w:p>
    <w:p w:rsidR="00C25287" w:rsidRPr="007056E2" w:rsidRDefault="00C25287" w:rsidP="00E44DE8">
      <w:pPr>
        <w:spacing w:after="240"/>
        <w:jc w:val="both"/>
        <w:rPr>
          <w:rFonts w:ascii="Arial" w:hAnsi="Arial" w:cs="Arial"/>
          <w:sz w:val="24"/>
          <w:szCs w:val="24"/>
        </w:rPr>
      </w:pPr>
      <w:r>
        <w:rPr>
          <w:rFonts w:ascii="Arial" w:hAnsi="Arial" w:cs="Arial"/>
          <w:sz w:val="24"/>
          <w:szCs w:val="24"/>
        </w:rPr>
        <w:t>Publicar</w:t>
      </w:r>
      <w:r w:rsidRPr="007056E2">
        <w:rPr>
          <w:rFonts w:ascii="Arial" w:hAnsi="Arial" w:cs="Arial"/>
          <w:sz w:val="24"/>
          <w:szCs w:val="24"/>
        </w:rPr>
        <w:t xml:space="preserve"> en los portales electrónicos de sus Secretarías de la </w:t>
      </w:r>
      <w:r>
        <w:rPr>
          <w:rFonts w:ascii="Arial" w:hAnsi="Arial" w:cs="Arial"/>
          <w:sz w:val="24"/>
          <w:szCs w:val="24"/>
        </w:rPr>
        <w:t>Contraloría</w:t>
      </w:r>
      <w:r w:rsidRPr="007056E2">
        <w:rPr>
          <w:rFonts w:ascii="Arial" w:hAnsi="Arial" w:cs="Arial"/>
          <w:sz w:val="24"/>
          <w:szCs w:val="24"/>
        </w:rPr>
        <w:t xml:space="preserve">, o equivalentes, las observaciones realizadas por la Auditoría Superior de la Federación, de la Secretaría de la Función Pública y de las Entidades de Fiscalización Superior de los Estados a sus dependencias, recuperaciones financieras y avances en las investigaciones. </w:t>
      </w:r>
    </w:p>
    <w:p w:rsidR="00C25287" w:rsidRPr="007056E2" w:rsidRDefault="00C25287" w:rsidP="00E44DE8">
      <w:pPr>
        <w:spacing w:after="240"/>
        <w:jc w:val="both"/>
        <w:rPr>
          <w:rFonts w:ascii="Arial" w:hAnsi="Arial" w:cs="Arial"/>
          <w:b/>
          <w:sz w:val="24"/>
          <w:szCs w:val="24"/>
        </w:rPr>
      </w:pPr>
      <w:r w:rsidRPr="007056E2">
        <w:rPr>
          <w:rFonts w:ascii="Arial" w:hAnsi="Arial" w:cs="Arial"/>
          <w:b/>
          <w:sz w:val="24"/>
          <w:szCs w:val="24"/>
        </w:rPr>
        <w:t>Compromiso III</w:t>
      </w:r>
    </w:p>
    <w:p w:rsidR="00C25287" w:rsidRPr="00BE227F" w:rsidRDefault="00C25287" w:rsidP="00E44DE8">
      <w:pPr>
        <w:spacing w:after="240"/>
        <w:jc w:val="both"/>
        <w:rPr>
          <w:rFonts w:ascii="Arial" w:hAnsi="Arial" w:cs="Arial"/>
          <w:sz w:val="24"/>
          <w:szCs w:val="24"/>
        </w:rPr>
      </w:pPr>
      <w:r>
        <w:rPr>
          <w:rFonts w:ascii="Arial" w:hAnsi="Arial" w:cs="Arial"/>
          <w:sz w:val="24"/>
          <w:szCs w:val="24"/>
        </w:rPr>
        <w:t>R</w:t>
      </w:r>
      <w:r w:rsidRPr="007056E2">
        <w:rPr>
          <w:rFonts w:ascii="Arial" w:hAnsi="Arial" w:cs="Arial"/>
          <w:sz w:val="24"/>
          <w:szCs w:val="24"/>
        </w:rPr>
        <w:t>ealizar</w:t>
      </w:r>
      <w:r>
        <w:rPr>
          <w:rFonts w:ascii="Arial" w:hAnsi="Arial" w:cs="Arial"/>
          <w:sz w:val="24"/>
          <w:szCs w:val="24"/>
        </w:rPr>
        <w:t>, en colaboración con Compranet,</w:t>
      </w:r>
      <w:r w:rsidRPr="007056E2">
        <w:rPr>
          <w:rFonts w:ascii="Arial" w:hAnsi="Arial" w:cs="Arial"/>
          <w:sz w:val="24"/>
          <w:szCs w:val="24"/>
        </w:rPr>
        <w:t xml:space="preserve"> todos los procesos de compra pública y convenios con dependencias públicas, sin impo</w:t>
      </w:r>
      <w:r>
        <w:rPr>
          <w:rFonts w:ascii="Arial" w:hAnsi="Arial" w:cs="Arial"/>
          <w:sz w:val="24"/>
          <w:szCs w:val="24"/>
        </w:rPr>
        <w:t>rtar el origen de los recursos</w:t>
      </w:r>
      <w:r w:rsidRPr="007056E2">
        <w:rPr>
          <w:rFonts w:ascii="Arial" w:hAnsi="Arial" w:cs="Arial"/>
          <w:sz w:val="24"/>
          <w:szCs w:val="24"/>
        </w:rPr>
        <w:t>.</w:t>
      </w:r>
      <w:r w:rsidR="00D6502C" w:rsidRPr="00D6502C">
        <w:rPr>
          <w:rFonts w:ascii="Arial" w:hAnsi="Arial" w:cs="Arial"/>
          <w:sz w:val="24"/>
          <w:szCs w:val="24"/>
        </w:rPr>
        <w:t xml:space="preserve"> </w:t>
      </w:r>
      <w:r w:rsidR="00D6502C" w:rsidRPr="007056E2">
        <w:rPr>
          <w:rFonts w:ascii="Arial" w:hAnsi="Arial" w:cs="Arial"/>
          <w:sz w:val="24"/>
          <w:szCs w:val="24"/>
        </w:rPr>
        <w:lastRenderedPageBreak/>
        <w:t xml:space="preserve">Impulsar la realización de compras consolidadas en sectores clave, en particular las compras de medicamentos. </w:t>
      </w:r>
    </w:p>
    <w:p w:rsidR="00C25287" w:rsidRPr="007056E2" w:rsidRDefault="00C25287" w:rsidP="00E44DE8">
      <w:pPr>
        <w:spacing w:after="240"/>
        <w:jc w:val="both"/>
        <w:rPr>
          <w:rFonts w:ascii="Arial" w:hAnsi="Arial" w:cs="Arial"/>
          <w:b/>
          <w:sz w:val="24"/>
          <w:szCs w:val="24"/>
        </w:rPr>
      </w:pPr>
      <w:r w:rsidRPr="007056E2">
        <w:rPr>
          <w:rFonts w:ascii="Arial" w:hAnsi="Arial" w:cs="Arial"/>
          <w:b/>
          <w:sz w:val="24"/>
          <w:szCs w:val="24"/>
        </w:rPr>
        <w:t>Compromisos IV</w:t>
      </w:r>
    </w:p>
    <w:p w:rsidR="00C25287" w:rsidRPr="007056E2" w:rsidRDefault="00C25287" w:rsidP="00E44DE8">
      <w:pPr>
        <w:spacing w:after="240"/>
        <w:jc w:val="both"/>
        <w:rPr>
          <w:rFonts w:ascii="Arial" w:hAnsi="Arial" w:cs="Arial"/>
          <w:sz w:val="24"/>
          <w:szCs w:val="24"/>
        </w:rPr>
      </w:pPr>
      <w:r>
        <w:rPr>
          <w:rFonts w:ascii="Arial" w:hAnsi="Arial" w:cs="Arial"/>
          <w:sz w:val="24"/>
          <w:szCs w:val="24"/>
        </w:rPr>
        <w:t xml:space="preserve">Transitar </w:t>
      </w:r>
      <w:r w:rsidRPr="007056E2">
        <w:rPr>
          <w:rFonts w:ascii="Arial" w:hAnsi="Arial" w:cs="Arial"/>
          <w:sz w:val="24"/>
          <w:szCs w:val="24"/>
        </w:rPr>
        <w:t xml:space="preserve">hacia la digitalización y sistematización de todos los procesos de compra pública, caracterizados por la transparencia proactiva mediante internet (datos abiertos) y con el uso de metodologías realizadas en conjunto con la sociedad civil. </w:t>
      </w:r>
    </w:p>
    <w:p w:rsidR="00C25287" w:rsidRPr="007056E2" w:rsidRDefault="00C25287" w:rsidP="00E44DE8">
      <w:pPr>
        <w:spacing w:after="240"/>
        <w:jc w:val="both"/>
        <w:rPr>
          <w:rFonts w:ascii="Arial" w:hAnsi="Arial" w:cs="Arial"/>
          <w:b/>
          <w:sz w:val="24"/>
          <w:szCs w:val="24"/>
        </w:rPr>
      </w:pPr>
      <w:r w:rsidRPr="007056E2">
        <w:rPr>
          <w:rFonts w:ascii="Arial" w:hAnsi="Arial" w:cs="Arial"/>
          <w:b/>
          <w:sz w:val="24"/>
          <w:szCs w:val="24"/>
        </w:rPr>
        <w:t>Compromiso V</w:t>
      </w:r>
    </w:p>
    <w:p w:rsidR="00C25287" w:rsidRPr="007056E2" w:rsidRDefault="00C25287" w:rsidP="00E44DE8">
      <w:pPr>
        <w:spacing w:after="240"/>
        <w:jc w:val="both"/>
        <w:rPr>
          <w:rFonts w:ascii="Arial" w:hAnsi="Arial" w:cs="Arial"/>
          <w:sz w:val="24"/>
          <w:szCs w:val="24"/>
        </w:rPr>
      </w:pPr>
      <w:r>
        <w:rPr>
          <w:rFonts w:ascii="Arial" w:hAnsi="Arial" w:cs="Arial"/>
          <w:sz w:val="24"/>
          <w:szCs w:val="24"/>
        </w:rPr>
        <w:t>E</w:t>
      </w:r>
      <w:r w:rsidRPr="007056E2">
        <w:rPr>
          <w:rFonts w:ascii="Arial" w:hAnsi="Arial" w:cs="Arial"/>
          <w:sz w:val="24"/>
          <w:szCs w:val="24"/>
        </w:rPr>
        <w:t xml:space="preserve">vitar el uso de cuentas concentradoras y reducir al mínimo los pagos en efectivo. Establecer marcos legales que incentiven los pagos vinculados a cuentas específicas mediante el sistema financiero. </w:t>
      </w:r>
    </w:p>
    <w:p w:rsidR="00C25287" w:rsidRPr="007056E2" w:rsidRDefault="00D6502C" w:rsidP="00E44DE8">
      <w:pPr>
        <w:spacing w:after="240"/>
        <w:jc w:val="both"/>
        <w:rPr>
          <w:rFonts w:ascii="Arial" w:hAnsi="Arial" w:cs="Arial"/>
          <w:b/>
          <w:sz w:val="24"/>
          <w:szCs w:val="24"/>
        </w:rPr>
      </w:pPr>
      <w:r>
        <w:rPr>
          <w:rFonts w:ascii="Arial" w:hAnsi="Arial" w:cs="Arial"/>
          <w:b/>
          <w:sz w:val="24"/>
          <w:szCs w:val="24"/>
        </w:rPr>
        <w:t>Compromiso V</w:t>
      </w:r>
      <w:r w:rsidR="00C25287">
        <w:rPr>
          <w:rFonts w:ascii="Arial" w:hAnsi="Arial" w:cs="Arial"/>
          <w:b/>
          <w:sz w:val="24"/>
          <w:szCs w:val="24"/>
        </w:rPr>
        <w:t>I</w:t>
      </w:r>
    </w:p>
    <w:p w:rsidR="00C25287" w:rsidRPr="007056E2" w:rsidRDefault="00C25287" w:rsidP="00E44DE8">
      <w:pPr>
        <w:spacing w:after="240"/>
        <w:jc w:val="both"/>
        <w:rPr>
          <w:rFonts w:ascii="Arial" w:hAnsi="Arial" w:cs="Arial"/>
          <w:sz w:val="24"/>
          <w:szCs w:val="24"/>
        </w:rPr>
      </w:pPr>
      <w:r w:rsidRPr="007056E2">
        <w:rPr>
          <w:rFonts w:ascii="Arial" w:hAnsi="Arial" w:cs="Arial"/>
          <w:sz w:val="24"/>
          <w:szCs w:val="24"/>
        </w:rPr>
        <w:t>Establecer requisitos mínimos de planeación con los que deba de contar cada proyecto de infraestructura antes de ser licitado el contrato para asegurar la calidad, y el costo beneficio del ejercicio de los recursos.</w:t>
      </w:r>
    </w:p>
    <w:p w:rsidR="00C25287" w:rsidRPr="007056E2" w:rsidRDefault="00D6502C" w:rsidP="00E44DE8">
      <w:pPr>
        <w:spacing w:after="240"/>
        <w:jc w:val="both"/>
        <w:rPr>
          <w:rFonts w:ascii="Arial" w:hAnsi="Arial" w:cs="Arial"/>
          <w:b/>
          <w:sz w:val="24"/>
          <w:szCs w:val="24"/>
        </w:rPr>
      </w:pPr>
      <w:r>
        <w:rPr>
          <w:rFonts w:ascii="Arial" w:hAnsi="Arial" w:cs="Arial"/>
          <w:b/>
          <w:sz w:val="24"/>
          <w:szCs w:val="24"/>
        </w:rPr>
        <w:t>Compromiso VII</w:t>
      </w:r>
    </w:p>
    <w:p w:rsidR="00C25287" w:rsidRPr="007056E2" w:rsidRDefault="00C25287" w:rsidP="00E44DE8">
      <w:pPr>
        <w:spacing w:after="240"/>
        <w:jc w:val="both"/>
        <w:rPr>
          <w:rFonts w:ascii="Arial" w:hAnsi="Arial" w:cs="Arial"/>
          <w:sz w:val="24"/>
          <w:szCs w:val="24"/>
        </w:rPr>
      </w:pPr>
      <w:r>
        <w:rPr>
          <w:rFonts w:ascii="Arial" w:hAnsi="Arial" w:cs="Arial"/>
          <w:sz w:val="24"/>
          <w:szCs w:val="24"/>
        </w:rPr>
        <w:t>H</w:t>
      </w:r>
      <w:r w:rsidRPr="007056E2">
        <w:rPr>
          <w:rFonts w:ascii="Arial" w:hAnsi="Arial" w:cs="Arial"/>
          <w:sz w:val="24"/>
          <w:szCs w:val="24"/>
        </w:rPr>
        <w:t>acer pública información de pasivos y obras inconclusas para todas sus dependencia</w:t>
      </w:r>
      <w:r>
        <w:rPr>
          <w:rFonts w:ascii="Arial" w:hAnsi="Arial" w:cs="Arial"/>
          <w:sz w:val="24"/>
          <w:szCs w:val="24"/>
        </w:rPr>
        <w:t>s, al cierre del ejercicio fiscal y a</w:t>
      </w:r>
      <w:r w:rsidRPr="007056E2">
        <w:rPr>
          <w:rFonts w:ascii="Arial" w:hAnsi="Arial" w:cs="Arial"/>
          <w:sz w:val="24"/>
          <w:szCs w:val="24"/>
        </w:rPr>
        <w:t xml:space="preserve"> la salida de sus administraciones.</w:t>
      </w:r>
    </w:p>
    <w:p w:rsidR="00C25287" w:rsidRPr="007056E2" w:rsidRDefault="00C25287" w:rsidP="00E44DE8">
      <w:pPr>
        <w:spacing w:after="240"/>
        <w:jc w:val="both"/>
        <w:rPr>
          <w:rFonts w:ascii="Arial" w:hAnsi="Arial" w:cs="Arial"/>
          <w:b/>
          <w:sz w:val="24"/>
          <w:szCs w:val="24"/>
        </w:rPr>
      </w:pPr>
      <w:r w:rsidRPr="007056E2">
        <w:rPr>
          <w:rFonts w:ascii="Arial" w:hAnsi="Arial" w:cs="Arial"/>
          <w:b/>
          <w:sz w:val="24"/>
          <w:szCs w:val="24"/>
        </w:rPr>
        <w:t xml:space="preserve">Compromiso </w:t>
      </w:r>
      <w:r w:rsidR="00D6502C">
        <w:rPr>
          <w:rFonts w:ascii="Arial" w:hAnsi="Arial" w:cs="Arial"/>
          <w:b/>
          <w:sz w:val="24"/>
          <w:szCs w:val="24"/>
        </w:rPr>
        <w:t>VIII</w:t>
      </w:r>
    </w:p>
    <w:p w:rsidR="00C25287" w:rsidRPr="007056E2" w:rsidRDefault="00C25287" w:rsidP="00E44DE8">
      <w:pPr>
        <w:spacing w:after="240"/>
        <w:jc w:val="both"/>
        <w:rPr>
          <w:rFonts w:ascii="Arial" w:hAnsi="Arial" w:cs="Arial"/>
          <w:sz w:val="24"/>
          <w:szCs w:val="24"/>
        </w:rPr>
      </w:pPr>
      <w:r w:rsidRPr="007056E2">
        <w:rPr>
          <w:rFonts w:ascii="Arial" w:hAnsi="Arial" w:cs="Arial"/>
          <w:sz w:val="24"/>
          <w:szCs w:val="24"/>
        </w:rPr>
        <w:t>Impulsar desde los estados un marco jurídico unificado que incorpore las mejores prácticas nacionales e internacionales en materia de Adq</w:t>
      </w:r>
      <w:r>
        <w:rPr>
          <w:rFonts w:ascii="Arial" w:hAnsi="Arial" w:cs="Arial"/>
          <w:sz w:val="24"/>
          <w:szCs w:val="24"/>
        </w:rPr>
        <w:t>uisiciones y Obra pública en un</w:t>
      </w:r>
      <w:r w:rsidRPr="007056E2">
        <w:rPr>
          <w:rFonts w:ascii="Arial" w:hAnsi="Arial" w:cs="Arial"/>
          <w:sz w:val="24"/>
          <w:szCs w:val="24"/>
        </w:rPr>
        <w:t xml:space="preserve"> plazo no mayor a dos años.</w:t>
      </w:r>
    </w:p>
    <w:p w:rsidR="00C25287" w:rsidRPr="007056E2" w:rsidRDefault="00C25287" w:rsidP="00E44DE8">
      <w:pPr>
        <w:spacing w:after="240"/>
        <w:jc w:val="both"/>
        <w:rPr>
          <w:rFonts w:ascii="Arial" w:hAnsi="Arial" w:cs="Arial"/>
          <w:b/>
          <w:sz w:val="24"/>
          <w:szCs w:val="24"/>
        </w:rPr>
      </w:pPr>
      <w:r>
        <w:rPr>
          <w:rFonts w:ascii="Arial" w:hAnsi="Arial" w:cs="Arial"/>
          <w:b/>
          <w:sz w:val="24"/>
          <w:szCs w:val="24"/>
        </w:rPr>
        <w:t xml:space="preserve">Compromiso </w:t>
      </w:r>
      <w:r w:rsidR="00D6502C">
        <w:rPr>
          <w:rFonts w:ascii="Arial" w:hAnsi="Arial" w:cs="Arial"/>
          <w:b/>
          <w:sz w:val="24"/>
          <w:szCs w:val="24"/>
        </w:rPr>
        <w:t>IX</w:t>
      </w:r>
    </w:p>
    <w:p w:rsidR="00C25287" w:rsidRPr="007056E2" w:rsidRDefault="00C25287" w:rsidP="00E44DE8">
      <w:pPr>
        <w:spacing w:after="240"/>
        <w:jc w:val="both"/>
        <w:rPr>
          <w:rFonts w:ascii="Arial" w:hAnsi="Arial" w:cs="Arial"/>
          <w:sz w:val="24"/>
          <w:szCs w:val="24"/>
        </w:rPr>
      </w:pPr>
      <w:r w:rsidRPr="007056E2">
        <w:rPr>
          <w:rFonts w:ascii="Arial" w:hAnsi="Arial" w:cs="Arial"/>
          <w:sz w:val="24"/>
          <w:szCs w:val="24"/>
        </w:rPr>
        <w:t>Publicar las declaraciones patrimoniales, de conflicto de intereses y de cumplimiento fiscal de los gobernadores y gabinetes estatales.</w:t>
      </w:r>
    </w:p>
    <w:p w:rsidR="00C25287" w:rsidRPr="007056E2" w:rsidRDefault="00C25287" w:rsidP="00E44DE8">
      <w:pPr>
        <w:spacing w:after="240"/>
        <w:jc w:val="both"/>
        <w:rPr>
          <w:rFonts w:ascii="Arial" w:hAnsi="Arial" w:cs="Arial"/>
          <w:b/>
          <w:sz w:val="24"/>
          <w:szCs w:val="24"/>
        </w:rPr>
      </w:pPr>
      <w:r w:rsidRPr="007056E2">
        <w:rPr>
          <w:rFonts w:ascii="Arial" w:hAnsi="Arial" w:cs="Arial"/>
          <w:b/>
          <w:sz w:val="24"/>
          <w:szCs w:val="24"/>
        </w:rPr>
        <w:t>Compromiso X</w:t>
      </w:r>
    </w:p>
    <w:p w:rsidR="00C25287" w:rsidRDefault="00C25287" w:rsidP="00E44DE8">
      <w:pPr>
        <w:spacing w:after="240"/>
        <w:jc w:val="both"/>
        <w:rPr>
          <w:rFonts w:ascii="Arial" w:hAnsi="Arial" w:cs="Arial"/>
          <w:sz w:val="24"/>
          <w:szCs w:val="24"/>
        </w:rPr>
      </w:pPr>
      <w:r w:rsidRPr="007056E2">
        <w:rPr>
          <w:rFonts w:ascii="Arial" w:hAnsi="Arial" w:cs="Arial"/>
          <w:sz w:val="24"/>
          <w:szCs w:val="24"/>
        </w:rPr>
        <w:t xml:space="preserve">Instalar en cada estado comités de ética y prevención de conflictos de interés, para vigilar la aplicación de las normas de integridad en el ejercicio de la </w:t>
      </w:r>
      <w:r>
        <w:rPr>
          <w:rFonts w:ascii="Arial" w:hAnsi="Arial" w:cs="Arial"/>
          <w:sz w:val="24"/>
          <w:szCs w:val="24"/>
        </w:rPr>
        <w:t>función</w:t>
      </w:r>
      <w:r w:rsidRPr="007056E2">
        <w:rPr>
          <w:rFonts w:ascii="Arial" w:hAnsi="Arial" w:cs="Arial"/>
          <w:sz w:val="24"/>
          <w:szCs w:val="24"/>
        </w:rPr>
        <w:t xml:space="preserve"> pública.</w:t>
      </w:r>
    </w:p>
    <w:p w:rsidR="000F3E30" w:rsidRPr="000F3E30" w:rsidRDefault="000F3E30" w:rsidP="000F3E30">
      <w:pPr>
        <w:spacing w:after="240"/>
        <w:jc w:val="center"/>
        <w:rPr>
          <w:rFonts w:ascii="Arial" w:hAnsi="Arial" w:cs="Arial"/>
          <w:b/>
          <w:sz w:val="24"/>
          <w:szCs w:val="24"/>
        </w:rPr>
      </w:pPr>
      <w:r w:rsidRPr="000F3E30">
        <w:rPr>
          <w:rFonts w:ascii="Arial" w:hAnsi="Arial" w:cs="Arial"/>
          <w:b/>
          <w:sz w:val="24"/>
          <w:szCs w:val="24"/>
        </w:rPr>
        <w:t>Jojutla, Morelos a 3 de mayo de 2017.</w:t>
      </w:r>
    </w:p>
    <w:sectPr w:rsidR="000F3E30" w:rsidRPr="000F3E30" w:rsidSect="000F3E30">
      <w:headerReference w:type="default" r:id="rId8"/>
      <w:footerReference w:type="default" r:id="rId9"/>
      <w:pgSz w:w="12240" w:h="15840" w:code="1"/>
      <w:pgMar w:top="1701" w:right="1460" w:bottom="851"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F74" w:rsidRDefault="00277F74" w:rsidP="0093750D">
      <w:pPr>
        <w:spacing w:after="0" w:line="240" w:lineRule="auto"/>
      </w:pPr>
      <w:r>
        <w:separator/>
      </w:r>
    </w:p>
  </w:endnote>
  <w:endnote w:type="continuationSeparator" w:id="0">
    <w:p w:rsidR="00277F74" w:rsidRDefault="00277F74" w:rsidP="0093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02117"/>
      <w:docPartObj>
        <w:docPartGallery w:val="Page Numbers (Bottom of Page)"/>
        <w:docPartUnique/>
      </w:docPartObj>
    </w:sdtPr>
    <w:sdtContent>
      <w:p w:rsidR="000F3E30" w:rsidRDefault="000F3E30">
        <w:pPr>
          <w:pStyle w:val="Piedepgina"/>
          <w:jc w:val="right"/>
        </w:pPr>
        <w:r>
          <w:fldChar w:fldCharType="begin"/>
        </w:r>
        <w:r>
          <w:instrText>PAGE   \* MERGEFORMAT</w:instrText>
        </w:r>
        <w:r>
          <w:fldChar w:fldCharType="separate"/>
        </w:r>
        <w:r w:rsidRPr="000F3E30">
          <w:rPr>
            <w:noProof/>
            <w:lang w:val="es-ES"/>
          </w:rPr>
          <w:t>1</w:t>
        </w:r>
        <w:r>
          <w:fldChar w:fldCharType="end"/>
        </w:r>
        <w:r>
          <w:t>/2</w:t>
        </w:r>
      </w:p>
    </w:sdtContent>
  </w:sdt>
  <w:p w:rsidR="00A54B9B" w:rsidRPr="00365A32" w:rsidRDefault="00A54B9B" w:rsidP="0024630C">
    <w:pPr>
      <w:pStyle w:val="Piedepgina"/>
      <w:tabs>
        <w:tab w:val="clear" w:pos="8838"/>
        <w:tab w:val="right" w:pos="9356"/>
      </w:tabs>
      <w:ind w:left="-851" w:right="-801"/>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F74" w:rsidRDefault="00277F74" w:rsidP="0093750D">
      <w:pPr>
        <w:spacing w:after="0" w:line="240" w:lineRule="auto"/>
      </w:pPr>
      <w:r>
        <w:separator/>
      </w:r>
    </w:p>
  </w:footnote>
  <w:footnote w:type="continuationSeparator" w:id="0">
    <w:p w:rsidR="00277F74" w:rsidRDefault="00277F74" w:rsidP="00937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30" w:rsidRDefault="000F3E30" w:rsidP="000F3E30">
    <w:pPr>
      <w:spacing w:after="240"/>
      <w:jc w:val="center"/>
      <w:rPr>
        <w:rFonts w:ascii="Arial" w:hAnsi="Arial" w:cs="Arial"/>
        <w:b/>
        <w:sz w:val="28"/>
        <w:szCs w:val="28"/>
      </w:rPr>
    </w:pPr>
    <w:r>
      <w:rPr>
        <w:noProof/>
        <w:lang w:eastAsia="es-MX"/>
      </w:rPr>
      <w:pict>
        <v:shapetype id="_x0000_t32" coordsize="21600,21600" o:spt="32" o:oned="t" path="m,l21600,21600e" filled="f">
          <v:path arrowok="t" fillok="f" o:connecttype="none"/>
          <o:lock v:ext="edit" shapetype="t"/>
        </v:shapetype>
        <v:shape id="_x0000_s2052" type="#_x0000_t32" style="position:absolute;left:0;text-align:left;margin-left:420.45pt;margin-top:23.1pt;width:87pt;height:.35pt;flip:y;z-index:251657728;mso-position-horizontal-relative:text;mso-position-vertical-relative:text" o:connectortype="straight">
          <v:stroke dashstyle="1 1" endcap="round"/>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13.9pt;margin-top:4.45pt;width:87pt;height:13.5pt;z-index:-251659776;mso-position-horizontal-relative:text;mso-position-vertical-relative:text" adj="11632" fillcolor="black" strokeweight="0">
          <v:shadow color="#868686"/>
          <v:textpath style="font-family:&quot;Garamond&quot;;font-size:12pt;font-style:italic;v-text-kern:t" trim="t" fitpath="t" string="Presidencia"/>
        </v:shape>
      </w:pict>
    </w:r>
    <w:r>
      <w:rPr>
        <w:noProof/>
        <w:lang w:eastAsia="es-MX"/>
      </w:rPr>
      <w:drawing>
        <wp:anchor distT="0" distB="0" distL="114300" distR="114300" simplePos="0" relativeHeight="251660800" behindDoc="1" locked="0" layoutInCell="1" allowOverlap="1">
          <wp:simplePos x="0" y="0"/>
          <wp:positionH relativeFrom="column">
            <wp:posOffset>-512965</wp:posOffset>
          </wp:positionH>
          <wp:positionV relativeFrom="paragraph">
            <wp:posOffset>-291753</wp:posOffset>
          </wp:positionV>
          <wp:extent cx="850884" cy="1080000"/>
          <wp:effectExtent l="0" t="0" r="0" b="0"/>
          <wp:wrapNone/>
          <wp:docPr id="3" name="Imagen 3" descr="CON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AGO"/>
                  <pic:cNvPicPr>
                    <a:picLocks noChangeAspect="1" noChangeArrowheads="1"/>
                  </pic:cNvPicPr>
                </pic:nvPicPr>
                <pic:blipFill>
                  <a:blip r:embed="rId1"/>
                  <a:srcRect/>
                  <a:stretch>
                    <a:fillRect/>
                  </a:stretch>
                </pic:blipFill>
                <pic:spPr bwMode="auto">
                  <a:xfrm>
                    <a:off x="0" y="0"/>
                    <a:ext cx="850884" cy="1080000"/>
                  </a:xfrm>
                  <a:prstGeom prst="rect">
                    <a:avLst/>
                  </a:prstGeom>
                  <a:noFill/>
                  <a:ln w="9525">
                    <a:noFill/>
                    <a:miter lim="800000"/>
                    <a:headEnd/>
                    <a:tailEnd/>
                  </a:ln>
                </pic:spPr>
              </pic:pic>
            </a:graphicData>
          </a:graphic>
        </wp:anchor>
      </w:drawing>
    </w:r>
    <w:r w:rsidRPr="000F3E30">
      <w:rPr>
        <w:rFonts w:ascii="Arial" w:hAnsi="Arial" w:cs="Arial"/>
        <w:b/>
        <w:sz w:val="28"/>
        <w:szCs w:val="28"/>
      </w:rPr>
      <w:t xml:space="preserve">10 COMPROMISOS POR LA LEGALIDAD, </w:t>
    </w:r>
  </w:p>
  <w:p w:rsidR="00A54B9B" w:rsidRPr="000F3E30" w:rsidRDefault="000F3E30" w:rsidP="000F3E30">
    <w:pPr>
      <w:spacing w:after="240"/>
      <w:jc w:val="center"/>
      <w:rPr>
        <w:rFonts w:ascii="Arial" w:hAnsi="Arial" w:cs="Arial"/>
        <w:b/>
        <w:sz w:val="28"/>
        <w:szCs w:val="28"/>
      </w:rPr>
    </w:pPr>
    <w:r w:rsidRPr="000F3E30">
      <w:rPr>
        <w:rFonts w:ascii="Arial" w:hAnsi="Arial" w:cs="Arial"/>
        <w:b/>
        <w:sz w:val="28"/>
        <w:szCs w:val="28"/>
      </w:rPr>
      <w:t>LA TRANSPARENCIA Y LA RENDICIÓN DE CUENTAS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C2B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13325"/>
    <w:multiLevelType w:val="hybridMultilevel"/>
    <w:tmpl w:val="325C6224"/>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9DB6E08"/>
    <w:multiLevelType w:val="hybridMultilevel"/>
    <w:tmpl w:val="00B20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7813B5"/>
    <w:multiLevelType w:val="hybridMultilevel"/>
    <w:tmpl w:val="86AAA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805DE0"/>
    <w:multiLevelType w:val="hybridMultilevel"/>
    <w:tmpl w:val="EEB404C4"/>
    <w:lvl w:ilvl="0" w:tplc="2DAA513C">
      <w:start w:val="34"/>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6A65703D"/>
    <w:multiLevelType w:val="hybridMultilevel"/>
    <w:tmpl w:val="699058F8"/>
    <w:lvl w:ilvl="0" w:tplc="7F7ACC1A">
      <w:start w:val="1"/>
      <w:numFmt w:val="decimal"/>
      <w:lvlText w:val="%1."/>
      <w:lvlJc w:val="left"/>
      <w:pPr>
        <w:tabs>
          <w:tab w:val="num" w:pos="720"/>
        </w:tabs>
        <w:ind w:left="720" w:hanging="360"/>
      </w:pPr>
    </w:lvl>
    <w:lvl w:ilvl="1" w:tplc="BBBEECE0" w:tentative="1">
      <w:start w:val="1"/>
      <w:numFmt w:val="decimal"/>
      <w:lvlText w:val="%2."/>
      <w:lvlJc w:val="left"/>
      <w:pPr>
        <w:tabs>
          <w:tab w:val="num" w:pos="1440"/>
        </w:tabs>
        <w:ind w:left="1440" w:hanging="360"/>
      </w:pPr>
    </w:lvl>
    <w:lvl w:ilvl="2" w:tplc="EED62A64" w:tentative="1">
      <w:start w:val="1"/>
      <w:numFmt w:val="decimal"/>
      <w:lvlText w:val="%3."/>
      <w:lvlJc w:val="left"/>
      <w:pPr>
        <w:tabs>
          <w:tab w:val="num" w:pos="2160"/>
        </w:tabs>
        <w:ind w:left="2160" w:hanging="360"/>
      </w:pPr>
    </w:lvl>
    <w:lvl w:ilvl="3" w:tplc="948654C2" w:tentative="1">
      <w:start w:val="1"/>
      <w:numFmt w:val="decimal"/>
      <w:lvlText w:val="%4."/>
      <w:lvlJc w:val="left"/>
      <w:pPr>
        <w:tabs>
          <w:tab w:val="num" w:pos="2880"/>
        </w:tabs>
        <w:ind w:left="2880" w:hanging="360"/>
      </w:pPr>
    </w:lvl>
    <w:lvl w:ilvl="4" w:tplc="24CADD3A" w:tentative="1">
      <w:start w:val="1"/>
      <w:numFmt w:val="decimal"/>
      <w:lvlText w:val="%5."/>
      <w:lvlJc w:val="left"/>
      <w:pPr>
        <w:tabs>
          <w:tab w:val="num" w:pos="3600"/>
        </w:tabs>
        <w:ind w:left="3600" w:hanging="360"/>
      </w:pPr>
    </w:lvl>
    <w:lvl w:ilvl="5" w:tplc="7548ABBC" w:tentative="1">
      <w:start w:val="1"/>
      <w:numFmt w:val="decimal"/>
      <w:lvlText w:val="%6."/>
      <w:lvlJc w:val="left"/>
      <w:pPr>
        <w:tabs>
          <w:tab w:val="num" w:pos="4320"/>
        </w:tabs>
        <w:ind w:left="4320" w:hanging="360"/>
      </w:pPr>
    </w:lvl>
    <w:lvl w:ilvl="6" w:tplc="F4B2E928" w:tentative="1">
      <w:start w:val="1"/>
      <w:numFmt w:val="decimal"/>
      <w:lvlText w:val="%7."/>
      <w:lvlJc w:val="left"/>
      <w:pPr>
        <w:tabs>
          <w:tab w:val="num" w:pos="5040"/>
        </w:tabs>
        <w:ind w:left="5040" w:hanging="360"/>
      </w:pPr>
    </w:lvl>
    <w:lvl w:ilvl="7" w:tplc="3C420954" w:tentative="1">
      <w:start w:val="1"/>
      <w:numFmt w:val="decimal"/>
      <w:lvlText w:val="%8."/>
      <w:lvlJc w:val="left"/>
      <w:pPr>
        <w:tabs>
          <w:tab w:val="num" w:pos="5760"/>
        </w:tabs>
        <w:ind w:left="5760" w:hanging="360"/>
      </w:pPr>
    </w:lvl>
    <w:lvl w:ilvl="8" w:tplc="400C98F4" w:tentative="1">
      <w:start w:val="1"/>
      <w:numFmt w:val="decimal"/>
      <w:lvlText w:val="%9."/>
      <w:lvlJc w:val="left"/>
      <w:pPr>
        <w:tabs>
          <w:tab w:val="num" w:pos="6480"/>
        </w:tabs>
        <w:ind w:left="6480" w:hanging="360"/>
      </w:pPr>
    </w:lvl>
  </w:abstractNum>
  <w:abstractNum w:abstractNumId="6" w15:restartNumberingAfterBreak="0">
    <w:nsid w:val="750D4FC2"/>
    <w:multiLevelType w:val="hybridMultilevel"/>
    <w:tmpl w:val="284A18B4"/>
    <w:lvl w:ilvl="0" w:tplc="10B8A326">
      <w:start w:val="1"/>
      <w:numFmt w:val="decimal"/>
      <w:lvlText w:val="%1."/>
      <w:lvlJc w:val="left"/>
      <w:pPr>
        <w:tabs>
          <w:tab w:val="num" w:pos="720"/>
        </w:tabs>
        <w:ind w:left="720" w:hanging="360"/>
      </w:pPr>
    </w:lvl>
    <w:lvl w:ilvl="1" w:tplc="5CBC2A3C" w:tentative="1">
      <w:start w:val="1"/>
      <w:numFmt w:val="decimal"/>
      <w:lvlText w:val="%2."/>
      <w:lvlJc w:val="left"/>
      <w:pPr>
        <w:tabs>
          <w:tab w:val="num" w:pos="1440"/>
        </w:tabs>
        <w:ind w:left="1440" w:hanging="360"/>
      </w:pPr>
    </w:lvl>
    <w:lvl w:ilvl="2" w:tplc="8A9C016C" w:tentative="1">
      <w:start w:val="1"/>
      <w:numFmt w:val="decimal"/>
      <w:lvlText w:val="%3."/>
      <w:lvlJc w:val="left"/>
      <w:pPr>
        <w:tabs>
          <w:tab w:val="num" w:pos="2160"/>
        </w:tabs>
        <w:ind w:left="2160" w:hanging="360"/>
      </w:pPr>
    </w:lvl>
    <w:lvl w:ilvl="3" w:tplc="DE54EBA4" w:tentative="1">
      <w:start w:val="1"/>
      <w:numFmt w:val="decimal"/>
      <w:lvlText w:val="%4."/>
      <w:lvlJc w:val="left"/>
      <w:pPr>
        <w:tabs>
          <w:tab w:val="num" w:pos="2880"/>
        </w:tabs>
        <w:ind w:left="2880" w:hanging="360"/>
      </w:pPr>
    </w:lvl>
    <w:lvl w:ilvl="4" w:tplc="9402A4CE" w:tentative="1">
      <w:start w:val="1"/>
      <w:numFmt w:val="decimal"/>
      <w:lvlText w:val="%5."/>
      <w:lvlJc w:val="left"/>
      <w:pPr>
        <w:tabs>
          <w:tab w:val="num" w:pos="3600"/>
        </w:tabs>
        <w:ind w:left="3600" w:hanging="360"/>
      </w:pPr>
    </w:lvl>
    <w:lvl w:ilvl="5" w:tplc="F79832BC" w:tentative="1">
      <w:start w:val="1"/>
      <w:numFmt w:val="decimal"/>
      <w:lvlText w:val="%6."/>
      <w:lvlJc w:val="left"/>
      <w:pPr>
        <w:tabs>
          <w:tab w:val="num" w:pos="4320"/>
        </w:tabs>
        <w:ind w:left="4320" w:hanging="360"/>
      </w:pPr>
    </w:lvl>
    <w:lvl w:ilvl="6" w:tplc="D274288E" w:tentative="1">
      <w:start w:val="1"/>
      <w:numFmt w:val="decimal"/>
      <w:lvlText w:val="%7."/>
      <w:lvlJc w:val="left"/>
      <w:pPr>
        <w:tabs>
          <w:tab w:val="num" w:pos="5040"/>
        </w:tabs>
        <w:ind w:left="5040" w:hanging="360"/>
      </w:pPr>
    </w:lvl>
    <w:lvl w:ilvl="7" w:tplc="54CA25E2" w:tentative="1">
      <w:start w:val="1"/>
      <w:numFmt w:val="decimal"/>
      <w:lvlText w:val="%8."/>
      <w:lvlJc w:val="left"/>
      <w:pPr>
        <w:tabs>
          <w:tab w:val="num" w:pos="5760"/>
        </w:tabs>
        <w:ind w:left="5760" w:hanging="360"/>
      </w:pPr>
    </w:lvl>
    <w:lvl w:ilvl="8" w:tplc="C24C7B02" w:tentative="1">
      <w:start w:val="1"/>
      <w:numFmt w:val="decimal"/>
      <w:lvlText w:val="%9."/>
      <w:lvlJc w:val="left"/>
      <w:pPr>
        <w:tabs>
          <w:tab w:val="num" w:pos="6480"/>
        </w:tabs>
        <w:ind w:left="6480" w:hanging="360"/>
      </w:pPr>
    </w:lvl>
  </w:abstractNum>
  <w:abstractNum w:abstractNumId="7" w15:restartNumberingAfterBreak="0">
    <w:nsid w:val="79352E9D"/>
    <w:multiLevelType w:val="hybridMultilevel"/>
    <w:tmpl w:val="036C9C9C"/>
    <w:lvl w:ilvl="0" w:tplc="76FE6F48">
      <w:start w:val="1"/>
      <w:numFmt w:val="decimal"/>
      <w:lvlText w:val="%1."/>
      <w:lvlJc w:val="left"/>
      <w:pPr>
        <w:tabs>
          <w:tab w:val="num" w:pos="720"/>
        </w:tabs>
        <w:ind w:left="720" w:hanging="360"/>
      </w:pPr>
    </w:lvl>
    <w:lvl w:ilvl="1" w:tplc="B074089A" w:tentative="1">
      <w:start w:val="1"/>
      <w:numFmt w:val="decimal"/>
      <w:lvlText w:val="%2."/>
      <w:lvlJc w:val="left"/>
      <w:pPr>
        <w:tabs>
          <w:tab w:val="num" w:pos="1440"/>
        </w:tabs>
        <w:ind w:left="1440" w:hanging="360"/>
      </w:pPr>
    </w:lvl>
    <w:lvl w:ilvl="2" w:tplc="7B18AD1E" w:tentative="1">
      <w:start w:val="1"/>
      <w:numFmt w:val="decimal"/>
      <w:lvlText w:val="%3."/>
      <w:lvlJc w:val="left"/>
      <w:pPr>
        <w:tabs>
          <w:tab w:val="num" w:pos="2160"/>
        </w:tabs>
        <w:ind w:left="2160" w:hanging="360"/>
      </w:pPr>
    </w:lvl>
    <w:lvl w:ilvl="3" w:tplc="D08E7C28" w:tentative="1">
      <w:start w:val="1"/>
      <w:numFmt w:val="decimal"/>
      <w:lvlText w:val="%4."/>
      <w:lvlJc w:val="left"/>
      <w:pPr>
        <w:tabs>
          <w:tab w:val="num" w:pos="2880"/>
        </w:tabs>
        <w:ind w:left="2880" w:hanging="360"/>
      </w:pPr>
    </w:lvl>
    <w:lvl w:ilvl="4" w:tplc="66E48FCA" w:tentative="1">
      <w:start w:val="1"/>
      <w:numFmt w:val="decimal"/>
      <w:lvlText w:val="%5."/>
      <w:lvlJc w:val="left"/>
      <w:pPr>
        <w:tabs>
          <w:tab w:val="num" w:pos="3600"/>
        </w:tabs>
        <w:ind w:left="3600" w:hanging="360"/>
      </w:pPr>
    </w:lvl>
    <w:lvl w:ilvl="5" w:tplc="E55A4F64" w:tentative="1">
      <w:start w:val="1"/>
      <w:numFmt w:val="decimal"/>
      <w:lvlText w:val="%6."/>
      <w:lvlJc w:val="left"/>
      <w:pPr>
        <w:tabs>
          <w:tab w:val="num" w:pos="4320"/>
        </w:tabs>
        <w:ind w:left="4320" w:hanging="360"/>
      </w:pPr>
    </w:lvl>
    <w:lvl w:ilvl="6" w:tplc="22B4B5C6" w:tentative="1">
      <w:start w:val="1"/>
      <w:numFmt w:val="decimal"/>
      <w:lvlText w:val="%7."/>
      <w:lvlJc w:val="left"/>
      <w:pPr>
        <w:tabs>
          <w:tab w:val="num" w:pos="5040"/>
        </w:tabs>
        <w:ind w:left="5040" w:hanging="360"/>
      </w:pPr>
    </w:lvl>
    <w:lvl w:ilvl="7" w:tplc="E6F4A2DE" w:tentative="1">
      <w:start w:val="1"/>
      <w:numFmt w:val="decimal"/>
      <w:lvlText w:val="%8."/>
      <w:lvlJc w:val="left"/>
      <w:pPr>
        <w:tabs>
          <w:tab w:val="num" w:pos="5760"/>
        </w:tabs>
        <w:ind w:left="5760" w:hanging="360"/>
      </w:pPr>
    </w:lvl>
    <w:lvl w:ilvl="8" w:tplc="A574F9FE"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3" fill="f" fillcolor="white" stroke="f">
      <v:fill color="white" on="f"/>
      <v:stroke on="f"/>
    </o:shapedefaults>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281B0E"/>
    <w:rsid w:val="000024EB"/>
    <w:rsid w:val="0000484B"/>
    <w:rsid w:val="0003227F"/>
    <w:rsid w:val="0004135C"/>
    <w:rsid w:val="000662AC"/>
    <w:rsid w:val="000779BD"/>
    <w:rsid w:val="000A2218"/>
    <w:rsid w:val="000A2709"/>
    <w:rsid w:val="000B692E"/>
    <w:rsid w:val="000C2062"/>
    <w:rsid w:val="000E5CF7"/>
    <w:rsid w:val="000F3E30"/>
    <w:rsid w:val="001578F9"/>
    <w:rsid w:val="001627BD"/>
    <w:rsid w:val="00167E3F"/>
    <w:rsid w:val="00193E94"/>
    <w:rsid w:val="001B01E7"/>
    <w:rsid w:val="001C2410"/>
    <w:rsid w:val="001D1782"/>
    <w:rsid w:val="001E080A"/>
    <w:rsid w:val="001E52AA"/>
    <w:rsid w:val="001F58DA"/>
    <w:rsid w:val="00214479"/>
    <w:rsid w:val="00221293"/>
    <w:rsid w:val="0024630C"/>
    <w:rsid w:val="00250092"/>
    <w:rsid w:val="00251D7B"/>
    <w:rsid w:val="00266445"/>
    <w:rsid w:val="0026777D"/>
    <w:rsid w:val="0027096F"/>
    <w:rsid w:val="002741FF"/>
    <w:rsid w:val="0027669F"/>
    <w:rsid w:val="00277F74"/>
    <w:rsid w:val="00281B0E"/>
    <w:rsid w:val="00294B86"/>
    <w:rsid w:val="002A59CF"/>
    <w:rsid w:val="002B6169"/>
    <w:rsid w:val="002C0718"/>
    <w:rsid w:val="002D04DA"/>
    <w:rsid w:val="002D0A94"/>
    <w:rsid w:val="002F7F47"/>
    <w:rsid w:val="00312CC1"/>
    <w:rsid w:val="00317E92"/>
    <w:rsid w:val="0036266A"/>
    <w:rsid w:val="00365A32"/>
    <w:rsid w:val="003759C1"/>
    <w:rsid w:val="003C00A2"/>
    <w:rsid w:val="003D13F2"/>
    <w:rsid w:val="003E0390"/>
    <w:rsid w:val="003E11E8"/>
    <w:rsid w:val="003E13BA"/>
    <w:rsid w:val="00415798"/>
    <w:rsid w:val="004168B6"/>
    <w:rsid w:val="00426965"/>
    <w:rsid w:val="004833F7"/>
    <w:rsid w:val="00485C94"/>
    <w:rsid w:val="0048694B"/>
    <w:rsid w:val="00494E4C"/>
    <w:rsid w:val="00494F71"/>
    <w:rsid w:val="004C1014"/>
    <w:rsid w:val="004D4358"/>
    <w:rsid w:val="004E337A"/>
    <w:rsid w:val="004E3FB8"/>
    <w:rsid w:val="004F6A1F"/>
    <w:rsid w:val="0050113B"/>
    <w:rsid w:val="00502ECA"/>
    <w:rsid w:val="005048D8"/>
    <w:rsid w:val="0051539B"/>
    <w:rsid w:val="00516CCC"/>
    <w:rsid w:val="0054711D"/>
    <w:rsid w:val="00552A31"/>
    <w:rsid w:val="00555ACA"/>
    <w:rsid w:val="005A5665"/>
    <w:rsid w:val="005E2CFD"/>
    <w:rsid w:val="005F4579"/>
    <w:rsid w:val="00607263"/>
    <w:rsid w:val="00626AB1"/>
    <w:rsid w:val="006668B5"/>
    <w:rsid w:val="006669B5"/>
    <w:rsid w:val="00672E68"/>
    <w:rsid w:val="006853C5"/>
    <w:rsid w:val="006A4D5C"/>
    <w:rsid w:val="006D6731"/>
    <w:rsid w:val="006E43AB"/>
    <w:rsid w:val="006F02CF"/>
    <w:rsid w:val="007000A6"/>
    <w:rsid w:val="0070456D"/>
    <w:rsid w:val="007109E5"/>
    <w:rsid w:val="007119E3"/>
    <w:rsid w:val="00712A0C"/>
    <w:rsid w:val="0073470E"/>
    <w:rsid w:val="00752BCF"/>
    <w:rsid w:val="007764AD"/>
    <w:rsid w:val="00790611"/>
    <w:rsid w:val="007D58AE"/>
    <w:rsid w:val="007E3DFC"/>
    <w:rsid w:val="0080194F"/>
    <w:rsid w:val="008057A8"/>
    <w:rsid w:val="00810847"/>
    <w:rsid w:val="00874020"/>
    <w:rsid w:val="00886AF0"/>
    <w:rsid w:val="008A3CC5"/>
    <w:rsid w:val="008B197F"/>
    <w:rsid w:val="008B46E7"/>
    <w:rsid w:val="008C2D99"/>
    <w:rsid w:val="008E5B2A"/>
    <w:rsid w:val="009128AF"/>
    <w:rsid w:val="00915D4F"/>
    <w:rsid w:val="00931F46"/>
    <w:rsid w:val="0093750D"/>
    <w:rsid w:val="00944C48"/>
    <w:rsid w:val="009528AB"/>
    <w:rsid w:val="00956751"/>
    <w:rsid w:val="00957CFB"/>
    <w:rsid w:val="0096749A"/>
    <w:rsid w:val="00971E2F"/>
    <w:rsid w:val="00974879"/>
    <w:rsid w:val="00986AF2"/>
    <w:rsid w:val="009A368E"/>
    <w:rsid w:val="009D0DFB"/>
    <w:rsid w:val="009D1A17"/>
    <w:rsid w:val="009D4ACC"/>
    <w:rsid w:val="009E2282"/>
    <w:rsid w:val="009E2C10"/>
    <w:rsid w:val="009E39B2"/>
    <w:rsid w:val="009E490A"/>
    <w:rsid w:val="00A12054"/>
    <w:rsid w:val="00A2198E"/>
    <w:rsid w:val="00A30BCD"/>
    <w:rsid w:val="00A54B9B"/>
    <w:rsid w:val="00A63341"/>
    <w:rsid w:val="00A92E2A"/>
    <w:rsid w:val="00AA4723"/>
    <w:rsid w:val="00AD0F7A"/>
    <w:rsid w:val="00B0258F"/>
    <w:rsid w:val="00B03941"/>
    <w:rsid w:val="00B17749"/>
    <w:rsid w:val="00B2424F"/>
    <w:rsid w:val="00B258E9"/>
    <w:rsid w:val="00B3133B"/>
    <w:rsid w:val="00B72D7E"/>
    <w:rsid w:val="00B85315"/>
    <w:rsid w:val="00BC2B5E"/>
    <w:rsid w:val="00C17FF2"/>
    <w:rsid w:val="00C25287"/>
    <w:rsid w:val="00C7457C"/>
    <w:rsid w:val="00C96731"/>
    <w:rsid w:val="00CA3BDE"/>
    <w:rsid w:val="00CA41A4"/>
    <w:rsid w:val="00CB63D3"/>
    <w:rsid w:val="00CB706C"/>
    <w:rsid w:val="00CE08AC"/>
    <w:rsid w:val="00CE3B4E"/>
    <w:rsid w:val="00CE69B5"/>
    <w:rsid w:val="00D118FE"/>
    <w:rsid w:val="00D25EAE"/>
    <w:rsid w:val="00D261E9"/>
    <w:rsid w:val="00D324B4"/>
    <w:rsid w:val="00D33C3B"/>
    <w:rsid w:val="00D40369"/>
    <w:rsid w:val="00D43984"/>
    <w:rsid w:val="00D470C6"/>
    <w:rsid w:val="00D50FAE"/>
    <w:rsid w:val="00D64231"/>
    <w:rsid w:val="00D6502C"/>
    <w:rsid w:val="00D66AF6"/>
    <w:rsid w:val="00D76A90"/>
    <w:rsid w:val="00D95904"/>
    <w:rsid w:val="00DA7196"/>
    <w:rsid w:val="00DE761D"/>
    <w:rsid w:val="00DE7975"/>
    <w:rsid w:val="00E035DA"/>
    <w:rsid w:val="00E13B2A"/>
    <w:rsid w:val="00E30259"/>
    <w:rsid w:val="00E30987"/>
    <w:rsid w:val="00E42F58"/>
    <w:rsid w:val="00E44DE8"/>
    <w:rsid w:val="00E5618B"/>
    <w:rsid w:val="00E866B1"/>
    <w:rsid w:val="00E90886"/>
    <w:rsid w:val="00EC3F03"/>
    <w:rsid w:val="00EC77C1"/>
    <w:rsid w:val="00ED392B"/>
    <w:rsid w:val="00EE1C98"/>
    <w:rsid w:val="00EE2F29"/>
    <w:rsid w:val="00EE56BB"/>
    <w:rsid w:val="00F1671F"/>
    <w:rsid w:val="00F5371A"/>
    <w:rsid w:val="00F5543A"/>
    <w:rsid w:val="00F56FF0"/>
    <w:rsid w:val="00F64C96"/>
    <w:rsid w:val="00F92297"/>
    <w:rsid w:val="00FB1917"/>
    <w:rsid w:val="00FC7DD4"/>
    <w:rsid w:val="00FD5EA3"/>
    <w:rsid w:val="00FD6A23"/>
    <w:rsid w:val="00FE7C5D"/>
    <w:rsid w:val="00FF5B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fill="f" fillcolor="white" stroke="f">
      <v:fill color="white" on="f"/>
      <v:stroke on="f"/>
    </o:shapedefaults>
    <o:shapelayout v:ext="edit">
      <o:idmap v:ext="edit" data="1"/>
    </o:shapelayout>
  </w:shapeDefaults>
  <w:decimalSymbol w:val="."/>
  <w:listSeparator w:val=","/>
  <w14:docId w14:val="497AA51F"/>
  <w15:docId w15:val="{90AEFEF9-0FFA-4EC8-9A68-7295CC3C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74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1F58DA"/>
    <w:pPr>
      <w:ind w:left="720"/>
      <w:contextualSpacing/>
    </w:pPr>
  </w:style>
  <w:style w:type="table" w:styleId="Tablaconcuadrcula">
    <w:name w:val="Table Grid"/>
    <w:basedOn w:val="Tablanormal"/>
    <w:uiPriority w:val="59"/>
    <w:rsid w:val="006D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50D"/>
    <w:pPr>
      <w:tabs>
        <w:tab w:val="center" w:pos="4419"/>
        <w:tab w:val="right" w:pos="8838"/>
      </w:tabs>
    </w:pPr>
  </w:style>
  <w:style w:type="character" w:customStyle="1" w:styleId="EncabezadoCar">
    <w:name w:val="Encabezado Car"/>
    <w:link w:val="Encabezado"/>
    <w:uiPriority w:val="99"/>
    <w:rsid w:val="0093750D"/>
    <w:rPr>
      <w:sz w:val="22"/>
      <w:szCs w:val="22"/>
      <w:lang w:eastAsia="en-US"/>
    </w:rPr>
  </w:style>
  <w:style w:type="paragraph" w:styleId="Piedepgina">
    <w:name w:val="footer"/>
    <w:basedOn w:val="Normal"/>
    <w:link w:val="PiedepginaCar"/>
    <w:uiPriority w:val="99"/>
    <w:unhideWhenUsed/>
    <w:rsid w:val="0093750D"/>
    <w:pPr>
      <w:tabs>
        <w:tab w:val="center" w:pos="4419"/>
        <w:tab w:val="right" w:pos="8838"/>
      </w:tabs>
    </w:pPr>
  </w:style>
  <w:style w:type="character" w:customStyle="1" w:styleId="PiedepginaCar">
    <w:name w:val="Pie de página Car"/>
    <w:link w:val="Piedepgina"/>
    <w:uiPriority w:val="99"/>
    <w:rsid w:val="0093750D"/>
    <w:rPr>
      <w:sz w:val="22"/>
      <w:szCs w:val="22"/>
      <w:lang w:eastAsia="en-US"/>
    </w:rPr>
  </w:style>
  <w:style w:type="paragraph" w:styleId="Sinespaciado">
    <w:name w:val="No Spacing"/>
    <w:uiPriority w:val="1"/>
    <w:qFormat/>
    <w:rsid w:val="003E0390"/>
    <w:rPr>
      <w:sz w:val="22"/>
      <w:szCs w:val="22"/>
      <w:lang w:eastAsia="en-US"/>
    </w:rPr>
  </w:style>
  <w:style w:type="paragraph" w:styleId="Textodeglobo">
    <w:name w:val="Balloon Text"/>
    <w:basedOn w:val="Normal"/>
    <w:link w:val="TextodegloboCar"/>
    <w:uiPriority w:val="99"/>
    <w:semiHidden/>
    <w:unhideWhenUsed/>
    <w:rsid w:val="00FD6A23"/>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FD6A23"/>
    <w:rPr>
      <w:rFonts w:ascii="Segoe UI" w:hAnsi="Segoe UI" w:cs="Segoe UI"/>
      <w:sz w:val="18"/>
      <w:szCs w:val="18"/>
      <w:lang w:eastAsia="en-US"/>
    </w:rPr>
  </w:style>
  <w:style w:type="character" w:styleId="Textoennegrita">
    <w:name w:val="Strong"/>
    <w:uiPriority w:val="22"/>
    <w:qFormat/>
    <w:rsid w:val="004E337A"/>
    <w:rPr>
      <w:b/>
      <w:bCs/>
    </w:rPr>
  </w:style>
  <w:style w:type="character" w:styleId="Hipervnculo">
    <w:name w:val="Hyperlink"/>
    <w:uiPriority w:val="99"/>
    <w:unhideWhenUsed/>
    <w:rsid w:val="004E337A"/>
    <w:rPr>
      <w:color w:val="0563C1"/>
      <w:u w:val="single"/>
    </w:rPr>
  </w:style>
  <w:style w:type="paragraph" w:styleId="Prrafodelista">
    <w:name w:val="List Paragraph"/>
    <w:basedOn w:val="Normal"/>
    <w:uiPriority w:val="34"/>
    <w:qFormat/>
    <w:rsid w:val="009A368E"/>
    <w:pPr>
      <w:spacing w:after="0" w:line="240" w:lineRule="auto"/>
      <w:ind w:left="720"/>
      <w:contextualSpacing/>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4037">
          <w:marLeft w:val="547"/>
          <w:marRight w:val="0"/>
          <w:marTop w:val="240"/>
          <w:marBottom w:val="0"/>
          <w:divBdr>
            <w:top w:val="none" w:sz="0" w:space="0" w:color="auto"/>
            <w:left w:val="none" w:sz="0" w:space="0" w:color="auto"/>
            <w:bottom w:val="none" w:sz="0" w:space="0" w:color="auto"/>
            <w:right w:val="none" w:sz="0" w:space="0" w:color="auto"/>
          </w:divBdr>
        </w:div>
      </w:divsChild>
    </w:div>
    <w:div w:id="338966694">
      <w:bodyDiv w:val="1"/>
      <w:marLeft w:val="0"/>
      <w:marRight w:val="0"/>
      <w:marTop w:val="0"/>
      <w:marBottom w:val="0"/>
      <w:divBdr>
        <w:top w:val="none" w:sz="0" w:space="0" w:color="auto"/>
        <w:left w:val="none" w:sz="0" w:space="0" w:color="auto"/>
        <w:bottom w:val="none" w:sz="0" w:space="0" w:color="auto"/>
        <w:right w:val="none" w:sz="0" w:space="0" w:color="auto"/>
      </w:divBdr>
    </w:div>
    <w:div w:id="686635537">
      <w:bodyDiv w:val="1"/>
      <w:marLeft w:val="0"/>
      <w:marRight w:val="0"/>
      <w:marTop w:val="0"/>
      <w:marBottom w:val="0"/>
      <w:divBdr>
        <w:top w:val="none" w:sz="0" w:space="0" w:color="auto"/>
        <w:left w:val="none" w:sz="0" w:space="0" w:color="auto"/>
        <w:bottom w:val="none" w:sz="0" w:space="0" w:color="auto"/>
        <w:right w:val="none" w:sz="0" w:space="0" w:color="auto"/>
      </w:divBdr>
    </w:div>
    <w:div w:id="835807912">
      <w:bodyDiv w:val="1"/>
      <w:marLeft w:val="0"/>
      <w:marRight w:val="0"/>
      <w:marTop w:val="0"/>
      <w:marBottom w:val="0"/>
      <w:divBdr>
        <w:top w:val="none" w:sz="0" w:space="0" w:color="auto"/>
        <w:left w:val="none" w:sz="0" w:space="0" w:color="auto"/>
        <w:bottom w:val="none" w:sz="0" w:space="0" w:color="auto"/>
        <w:right w:val="none" w:sz="0" w:space="0" w:color="auto"/>
      </w:divBdr>
      <w:divsChild>
        <w:div w:id="602106052">
          <w:marLeft w:val="547"/>
          <w:marRight w:val="0"/>
          <w:marTop w:val="240"/>
          <w:marBottom w:val="0"/>
          <w:divBdr>
            <w:top w:val="none" w:sz="0" w:space="0" w:color="auto"/>
            <w:left w:val="none" w:sz="0" w:space="0" w:color="auto"/>
            <w:bottom w:val="none" w:sz="0" w:space="0" w:color="auto"/>
            <w:right w:val="none" w:sz="0" w:space="0" w:color="auto"/>
          </w:divBdr>
        </w:div>
        <w:div w:id="1634405254">
          <w:marLeft w:val="547"/>
          <w:marRight w:val="0"/>
          <w:marTop w:val="240"/>
          <w:marBottom w:val="0"/>
          <w:divBdr>
            <w:top w:val="none" w:sz="0" w:space="0" w:color="auto"/>
            <w:left w:val="none" w:sz="0" w:space="0" w:color="auto"/>
            <w:bottom w:val="none" w:sz="0" w:space="0" w:color="auto"/>
            <w:right w:val="none" w:sz="0" w:space="0" w:color="auto"/>
          </w:divBdr>
        </w:div>
      </w:divsChild>
    </w:div>
    <w:div w:id="1261572523">
      <w:bodyDiv w:val="1"/>
      <w:marLeft w:val="0"/>
      <w:marRight w:val="0"/>
      <w:marTop w:val="0"/>
      <w:marBottom w:val="0"/>
      <w:divBdr>
        <w:top w:val="none" w:sz="0" w:space="0" w:color="auto"/>
        <w:left w:val="none" w:sz="0" w:space="0" w:color="auto"/>
        <w:bottom w:val="none" w:sz="0" w:space="0" w:color="auto"/>
        <w:right w:val="none" w:sz="0" w:space="0" w:color="auto"/>
      </w:divBdr>
      <w:divsChild>
        <w:div w:id="743452947">
          <w:marLeft w:val="547"/>
          <w:marRight w:val="0"/>
          <w:marTop w:val="240"/>
          <w:marBottom w:val="0"/>
          <w:divBdr>
            <w:top w:val="none" w:sz="0" w:space="0" w:color="auto"/>
            <w:left w:val="none" w:sz="0" w:space="0" w:color="auto"/>
            <w:bottom w:val="none" w:sz="0" w:space="0" w:color="auto"/>
            <w:right w:val="none" w:sz="0" w:space="0" w:color="auto"/>
          </w:divBdr>
        </w:div>
      </w:divsChild>
    </w:div>
    <w:div w:id="19132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2A9C-E0CE-4ACF-81DD-585972A4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TRABAJO</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del Estado de Morelos</dc:creator>
  <cp:lastModifiedBy>Alfredo Saldaña</cp:lastModifiedBy>
  <cp:revision>7</cp:revision>
  <cp:lastPrinted>2017-05-03T16:29:00Z</cp:lastPrinted>
  <dcterms:created xsi:type="dcterms:W3CDTF">2017-04-27T20:04:00Z</dcterms:created>
  <dcterms:modified xsi:type="dcterms:W3CDTF">2017-05-03T16:36:00Z</dcterms:modified>
</cp:coreProperties>
</file>