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97" w:rsidRDefault="00452A20" w:rsidP="00452A20">
      <w:pPr>
        <w:jc w:val="center"/>
        <w:rPr>
          <w:b/>
          <w:sz w:val="22"/>
        </w:rPr>
      </w:pPr>
      <w:r w:rsidRPr="00931ED9">
        <w:rPr>
          <w:b/>
          <w:sz w:val="22"/>
        </w:rPr>
        <w:t xml:space="preserve">PROPUESTA DE PUNTO DE ACUERDO PARA LA </w:t>
      </w:r>
      <w:r w:rsidR="00F6047E" w:rsidRPr="00931ED9">
        <w:rPr>
          <w:b/>
          <w:sz w:val="22"/>
        </w:rPr>
        <w:t>CONFORMACIÓN</w:t>
      </w:r>
      <w:r w:rsidRPr="00931ED9">
        <w:rPr>
          <w:b/>
          <w:sz w:val="22"/>
        </w:rPr>
        <w:t xml:space="preserve"> DE UN GRUPO TÉCNICO DE TRABAJO PARA LA</w:t>
      </w:r>
      <w:r w:rsidR="00F6047E" w:rsidRPr="00931ED9">
        <w:rPr>
          <w:b/>
          <w:sz w:val="22"/>
        </w:rPr>
        <w:t xml:space="preserve"> ELABORACIÓN DE PROPUESTAS DE CARA A LA INTEGRACIÓN DE LA LXII LEGISLATURA FEDERAL Y DEL PRÓXIMO GOBIERNO DE LA REPÚBLICA, ASÍ COMO DEL PROCESO DE ANÁLISIS, DISCUSIÓN Y APROBACIÓN DE</w:t>
      </w:r>
      <w:r w:rsidRPr="00931ED9">
        <w:rPr>
          <w:b/>
          <w:sz w:val="22"/>
        </w:rPr>
        <w:t>L PAQUETE ECON</w:t>
      </w:r>
      <w:r w:rsidR="00F6047E" w:rsidRPr="00931ED9">
        <w:rPr>
          <w:b/>
          <w:sz w:val="22"/>
        </w:rPr>
        <w:t>ÓMICO</w:t>
      </w:r>
      <w:r w:rsidRPr="00931ED9">
        <w:rPr>
          <w:b/>
          <w:sz w:val="22"/>
        </w:rPr>
        <w:t xml:space="preserve"> 2013</w:t>
      </w:r>
    </w:p>
    <w:p w:rsidR="00AD5287" w:rsidRPr="00931ED9" w:rsidRDefault="00AD5287" w:rsidP="00452A20">
      <w:pPr>
        <w:jc w:val="center"/>
        <w:rPr>
          <w:b/>
          <w:sz w:val="22"/>
        </w:rPr>
      </w:pPr>
    </w:p>
    <w:p w:rsidR="00452A20" w:rsidRPr="00931ED9" w:rsidRDefault="00452A20" w:rsidP="00452A20">
      <w:pPr>
        <w:jc w:val="both"/>
        <w:rPr>
          <w:b/>
          <w:sz w:val="22"/>
        </w:rPr>
      </w:pPr>
      <w:r w:rsidRPr="00931ED9">
        <w:rPr>
          <w:b/>
          <w:sz w:val="22"/>
        </w:rPr>
        <w:t>I</w:t>
      </w:r>
      <w:r w:rsidR="008F7232" w:rsidRPr="00931ED9">
        <w:rPr>
          <w:b/>
          <w:sz w:val="22"/>
        </w:rPr>
        <w:t xml:space="preserve">. </w:t>
      </w:r>
      <w:r w:rsidRPr="00931ED9">
        <w:rPr>
          <w:b/>
          <w:sz w:val="22"/>
        </w:rPr>
        <w:t>Antecedentes</w:t>
      </w:r>
    </w:p>
    <w:p w:rsidR="008F7232" w:rsidRPr="00931ED9" w:rsidRDefault="00452A20" w:rsidP="00452A20">
      <w:pPr>
        <w:jc w:val="both"/>
        <w:rPr>
          <w:sz w:val="22"/>
        </w:rPr>
      </w:pPr>
      <w:r w:rsidRPr="00931ED9">
        <w:rPr>
          <w:sz w:val="22"/>
        </w:rPr>
        <w:t>Durante los últimos años, la Federación ha venido transfiriendo y ampliando responsabilidades a las entidades federativas</w:t>
      </w:r>
      <w:r w:rsidR="00A64A4C" w:rsidRPr="00931ED9">
        <w:rPr>
          <w:sz w:val="22"/>
        </w:rPr>
        <w:t>, sin transferir los recursos federales necesarios para hacer frente a estas nuevas obligaciones</w:t>
      </w:r>
      <w:r w:rsidR="002E6625" w:rsidRPr="00931ED9">
        <w:rPr>
          <w:sz w:val="22"/>
        </w:rPr>
        <w:t>. Gradualmente, esta situación se ha convertido en una importante fue</w:t>
      </w:r>
      <w:r w:rsidR="008F7232" w:rsidRPr="00931ED9">
        <w:rPr>
          <w:sz w:val="22"/>
        </w:rPr>
        <w:t>nte de desequilibrio para las finanzas estatales y en un freno a la inversión estatal en infraestructura y obra pública.</w:t>
      </w:r>
    </w:p>
    <w:p w:rsidR="00B63774" w:rsidRPr="00931ED9" w:rsidRDefault="008F7232" w:rsidP="00452A20">
      <w:pPr>
        <w:jc w:val="both"/>
        <w:rPr>
          <w:sz w:val="22"/>
        </w:rPr>
      </w:pPr>
      <w:r w:rsidRPr="00931ED9">
        <w:rPr>
          <w:sz w:val="22"/>
        </w:rPr>
        <w:t xml:space="preserve">Entre los </w:t>
      </w:r>
      <w:r w:rsidR="00B63774" w:rsidRPr="00931ED9">
        <w:rPr>
          <w:sz w:val="22"/>
        </w:rPr>
        <w:t>temas que mayor impacto han tenido en las finanzas de las entidades federativas, destacan:</w:t>
      </w:r>
    </w:p>
    <w:p w:rsidR="00B63774" w:rsidRPr="00492D20" w:rsidRDefault="00492D20" w:rsidP="00B63774">
      <w:pPr>
        <w:pStyle w:val="Prrafodelista"/>
        <w:numPr>
          <w:ilvl w:val="0"/>
          <w:numId w:val="1"/>
        </w:numPr>
        <w:jc w:val="both"/>
        <w:rPr>
          <w:sz w:val="22"/>
        </w:rPr>
      </w:pPr>
      <w:r w:rsidRPr="00492D20">
        <w:rPr>
          <w:sz w:val="22"/>
        </w:rPr>
        <w:t xml:space="preserve">El crecimiento de las aportaciones estatales al gasto en educación básica, derivado </w:t>
      </w:r>
      <w:r>
        <w:rPr>
          <w:sz w:val="22"/>
        </w:rPr>
        <w:t xml:space="preserve">principalmente </w:t>
      </w:r>
      <w:r w:rsidRPr="00492D20">
        <w:rPr>
          <w:sz w:val="22"/>
        </w:rPr>
        <w:t>de la</w:t>
      </w:r>
      <w:r>
        <w:rPr>
          <w:sz w:val="22"/>
        </w:rPr>
        <w:t>s negociaciones nacionales para homologar sueldos y prestaciones</w:t>
      </w:r>
      <w:r w:rsidR="00B63774" w:rsidRPr="00492D20">
        <w:rPr>
          <w:sz w:val="22"/>
        </w:rPr>
        <w:t xml:space="preserve"> del magisterio</w:t>
      </w:r>
      <w:r>
        <w:rPr>
          <w:sz w:val="22"/>
        </w:rPr>
        <w:t xml:space="preserve">; reducción de subsidios federales al </w:t>
      </w:r>
      <w:r w:rsidR="00B63774" w:rsidRPr="00492D20">
        <w:rPr>
          <w:sz w:val="22"/>
        </w:rPr>
        <w:t>Programa de Carrera Magisterial</w:t>
      </w:r>
      <w:r>
        <w:rPr>
          <w:sz w:val="22"/>
        </w:rPr>
        <w:t xml:space="preserve"> de los sistemas estatales; y </w:t>
      </w:r>
      <w:r w:rsidR="00C80B67">
        <w:rPr>
          <w:sz w:val="22"/>
        </w:rPr>
        <w:t>el rezago histórico en las bases de cálculo de</w:t>
      </w:r>
      <w:r w:rsidR="00243D05">
        <w:rPr>
          <w:sz w:val="22"/>
        </w:rPr>
        <w:t>l Fondo de</w:t>
      </w:r>
      <w:r w:rsidR="00C80B67">
        <w:rPr>
          <w:sz w:val="22"/>
        </w:rPr>
        <w:t xml:space="preserve"> Aportaciones a la Educación Básica y Normal, en lo referente a prestaciones del magisterio.</w:t>
      </w:r>
    </w:p>
    <w:p w:rsidR="00B63774" w:rsidRPr="00931ED9" w:rsidRDefault="00B63774" w:rsidP="00B63774">
      <w:pPr>
        <w:pStyle w:val="Prrafodelista"/>
        <w:numPr>
          <w:ilvl w:val="0"/>
          <w:numId w:val="1"/>
        </w:numPr>
        <w:jc w:val="both"/>
        <w:rPr>
          <w:sz w:val="22"/>
        </w:rPr>
      </w:pPr>
      <w:r w:rsidRPr="00931ED9">
        <w:rPr>
          <w:sz w:val="22"/>
        </w:rPr>
        <w:t>El impacto financiero de las reformas a la Ley del ISSSTE.</w:t>
      </w:r>
    </w:p>
    <w:p w:rsidR="00B63774" w:rsidRPr="00931ED9" w:rsidRDefault="00B63774" w:rsidP="0088485A">
      <w:pPr>
        <w:pStyle w:val="Prrafodelista"/>
        <w:numPr>
          <w:ilvl w:val="0"/>
          <w:numId w:val="1"/>
        </w:numPr>
        <w:jc w:val="both"/>
        <w:rPr>
          <w:sz w:val="22"/>
        </w:rPr>
      </w:pPr>
      <w:r w:rsidRPr="00931ED9">
        <w:rPr>
          <w:sz w:val="22"/>
        </w:rPr>
        <w:t>La obligatoriedad de la aportación estatal al Seguro Popular</w:t>
      </w:r>
      <w:r w:rsidR="002310B9" w:rsidRPr="00931ED9">
        <w:rPr>
          <w:sz w:val="22"/>
        </w:rPr>
        <w:t>.</w:t>
      </w:r>
    </w:p>
    <w:p w:rsidR="002310B9" w:rsidRPr="00931ED9" w:rsidRDefault="002310B9" w:rsidP="0088485A">
      <w:pPr>
        <w:pStyle w:val="Prrafodelista"/>
        <w:numPr>
          <w:ilvl w:val="0"/>
          <w:numId w:val="1"/>
        </w:numPr>
        <w:jc w:val="both"/>
        <w:rPr>
          <w:sz w:val="22"/>
        </w:rPr>
      </w:pPr>
      <w:r w:rsidRPr="00931ED9">
        <w:rPr>
          <w:sz w:val="22"/>
        </w:rPr>
        <w:t>El pago parcial del ISR de los empleados públicos estatales, y</w:t>
      </w:r>
    </w:p>
    <w:p w:rsidR="00B63774" w:rsidRPr="00931ED9" w:rsidRDefault="00B63774" w:rsidP="00B63774">
      <w:pPr>
        <w:pStyle w:val="Prrafodelista"/>
        <w:numPr>
          <w:ilvl w:val="0"/>
          <w:numId w:val="1"/>
        </w:numPr>
        <w:jc w:val="both"/>
        <w:rPr>
          <w:sz w:val="22"/>
        </w:rPr>
      </w:pPr>
      <w:r w:rsidRPr="00931ED9">
        <w:rPr>
          <w:sz w:val="22"/>
        </w:rPr>
        <w:t>El impacto presupuestal de las reformas, programas y esquemas de concurrencia estatal en materia de seguridad y justicia.</w:t>
      </w:r>
    </w:p>
    <w:p w:rsidR="00AC5721" w:rsidRPr="00931ED9" w:rsidRDefault="008C280D" w:rsidP="0088485A">
      <w:pPr>
        <w:jc w:val="both"/>
        <w:rPr>
          <w:sz w:val="22"/>
        </w:rPr>
      </w:pPr>
      <w:r w:rsidRPr="00931ED9">
        <w:rPr>
          <w:sz w:val="22"/>
        </w:rPr>
        <w:t xml:space="preserve">Con datos de la Secretaría de Hacienda y Crédito Público se advierte que, entre 2006 y 2011, por cada tres pesos que se incrementó, en términos reales, el gasto programable del Gobierno Federal, el gasto federal </w:t>
      </w:r>
      <w:r w:rsidR="00AC5721" w:rsidRPr="00931ED9">
        <w:rPr>
          <w:sz w:val="22"/>
        </w:rPr>
        <w:t>que va a las entidades federativas y municipios (gasto federalizado) creció solamente en un peso.</w:t>
      </w:r>
    </w:p>
    <w:p w:rsidR="00AC5721" w:rsidRPr="00931ED9" w:rsidRDefault="00AC5721" w:rsidP="0088485A">
      <w:pPr>
        <w:jc w:val="both"/>
        <w:rPr>
          <w:sz w:val="22"/>
        </w:rPr>
      </w:pPr>
      <w:r w:rsidRPr="00931ED9">
        <w:rPr>
          <w:sz w:val="22"/>
        </w:rPr>
        <w:t>De esta forma, justo en el periodo en que se transfirieron mayores responsabilidades a las entidades federativas, se redujo sensiblemente el ritmo de crecimiento del gasto federalizado</w:t>
      </w:r>
      <w:r w:rsidR="00F6047E" w:rsidRPr="00931ED9">
        <w:rPr>
          <w:sz w:val="22"/>
        </w:rPr>
        <w:t>,</w:t>
      </w:r>
      <w:r w:rsidRPr="00931ED9">
        <w:rPr>
          <w:sz w:val="22"/>
        </w:rPr>
        <w:t xml:space="preserve"> que </w:t>
      </w:r>
      <w:r w:rsidR="00865601" w:rsidRPr="00931ED9">
        <w:rPr>
          <w:sz w:val="22"/>
        </w:rPr>
        <w:t>es la principal</w:t>
      </w:r>
      <w:r w:rsidRPr="00931ED9">
        <w:rPr>
          <w:sz w:val="22"/>
        </w:rPr>
        <w:t xml:space="preserve"> fuente </w:t>
      </w:r>
      <w:r w:rsidR="00865601" w:rsidRPr="00931ED9">
        <w:rPr>
          <w:sz w:val="22"/>
        </w:rPr>
        <w:t>de financiamiento de dichas obligaciones.</w:t>
      </w:r>
      <w:r w:rsidRPr="00931ED9">
        <w:rPr>
          <w:sz w:val="22"/>
        </w:rPr>
        <w:t xml:space="preserve"> Así, por ejemplo, de 200</w:t>
      </w:r>
      <w:r w:rsidR="00F40A36" w:rsidRPr="00931ED9">
        <w:rPr>
          <w:sz w:val="22"/>
        </w:rPr>
        <w:t>0</w:t>
      </w:r>
      <w:r w:rsidRPr="00931ED9">
        <w:rPr>
          <w:sz w:val="22"/>
        </w:rPr>
        <w:t xml:space="preserve"> a 2011, mientras que el gasto </w:t>
      </w:r>
      <w:r w:rsidR="00F40A36" w:rsidRPr="00931ED9">
        <w:rPr>
          <w:sz w:val="22"/>
        </w:rPr>
        <w:t>programable del Gobierno Federal creció</w:t>
      </w:r>
      <w:r w:rsidR="00931ED9" w:rsidRPr="00931ED9">
        <w:rPr>
          <w:sz w:val="22"/>
        </w:rPr>
        <w:t>, en términos reales, en 107</w:t>
      </w:r>
      <w:r w:rsidR="00F40A36" w:rsidRPr="00931ED9">
        <w:rPr>
          <w:sz w:val="22"/>
        </w:rPr>
        <w:t xml:space="preserve"> por ciento, y el gasto de la Secretaría de Educación creció en 70 por ciento, también en términos reales, el Fondo de Aportaciones para la Educación Básica y Normal (FAEB) creció </w:t>
      </w:r>
      <w:r w:rsidR="00865601" w:rsidRPr="00931ED9">
        <w:rPr>
          <w:sz w:val="22"/>
        </w:rPr>
        <w:t xml:space="preserve">en tan </w:t>
      </w:r>
      <w:r w:rsidR="00F40A36" w:rsidRPr="00931ED9">
        <w:rPr>
          <w:sz w:val="22"/>
        </w:rPr>
        <w:t>sólo un 27.5 por ciento.</w:t>
      </w:r>
    </w:p>
    <w:p w:rsidR="00AD5287" w:rsidRDefault="00247991" w:rsidP="0088485A">
      <w:pPr>
        <w:jc w:val="both"/>
        <w:rPr>
          <w:sz w:val="22"/>
        </w:rPr>
      </w:pPr>
      <w:r w:rsidRPr="00931ED9">
        <w:rPr>
          <w:sz w:val="22"/>
        </w:rPr>
        <w:t xml:space="preserve">En el mismo sentido, las entidades federativas enfrentan cada vez mayores dificultades para aportar los </w:t>
      </w:r>
      <w:proofErr w:type="spellStart"/>
      <w:r w:rsidRPr="00931ED9">
        <w:rPr>
          <w:sz w:val="22"/>
        </w:rPr>
        <w:t>pari-passus</w:t>
      </w:r>
      <w:proofErr w:type="spellEnd"/>
      <w:r w:rsidRPr="00931ED9">
        <w:rPr>
          <w:sz w:val="22"/>
        </w:rPr>
        <w:t xml:space="preserve"> que exigen las reglas de operación de diversos programas federales, existiendo -además- graves inconsistencias en la definición de las mismas. </w:t>
      </w:r>
    </w:p>
    <w:p w:rsidR="00247991" w:rsidRPr="00931ED9" w:rsidRDefault="00247991" w:rsidP="0088485A">
      <w:pPr>
        <w:jc w:val="both"/>
        <w:rPr>
          <w:sz w:val="22"/>
        </w:rPr>
      </w:pPr>
      <w:r w:rsidRPr="00931ED9">
        <w:rPr>
          <w:sz w:val="22"/>
        </w:rPr>
        <w:lastRenderedPageBreak/>
        <w:t xml:space="preserve">Un claro ejemplo de ello son los </w:t>
      </w:r>
      <w:proofErr w:type="spellStart"/>
      <w:r w:rsidRPr="00931ED9">
        <w:rPr>
          <w:sz w:val="22"/>
        </w:rPr>
        <w:t>pari-passus</w:t>
      </w:r>
      <w:proofErr w:type="spellEnd"/>
      <w:r w:rsidRPr="00931ED9">
        <w:rPr>
          <w:sz w:val="22"/>
        </w:rPr>
        <w:t xml:space="preserve"> que se exigen, en forma absurda e inaceptable, para la construcción de carreteras y caminos en zonas indígenas, en tanto que la construcción de carreteras en zonas </w:t>
      </w:r>
      <w:r w:rsidRPr="00931ED9">
        <w:rPr>
          <w:sz w:val="22"/>
          <w:u w:val="single"/>
        </w:rPr>
        <w:t>no</w:t>
      </w:r>
      <w:r w:rsidRPr="00931ED9">
        <w:rPr>
          <w:sz w:val="22"/>
        </w:rPr>
        <w:t xml:space="preserve"> indígenas </w:t>
      </w:r>
      <w:r w:rsidR="00784EA5" w:rsidRPr="00931ED9">
        <w:rPr>
          <w:sz w:val="22"/>
        </w:rPr>
        <w:t>es</w:t>
      </w:r>
      <w:r w:rsidRPr="00931ED9">
        <w:rPr>
          <w:sz w:val="22"/>
        </w:rPr>
        <w:t xml:space="preserve"> financiada en un 100 por ciento con recursos federales.</w:t>
      </w:r>
    </w:p>
    <w:p w:rsidR="0088485A" w:rsidRPr="00931ED9" w:rsidRDefault="0088485A" w:rsidP="0088485A">
      <w:pPr>
        <w:jc w:val="both"/>
        <w:rPr>
          <w:sz w:val="22"/>
        </w:rPr>
      </w:pPr>
      <w:r w:rsidRPr="00931ED9">
        <w:rPr>
          <w:sz w:val="22"/>
        </w:rPr>
        <w:t xml:space="preserve">Adicionalmente, salvo excepciones, las entidades federativas enfrentan un serio reto financiero en materia de pensiones que difícilmente podrá superarse sin </w:t>
      </w:r>
      <w:r w:rsidR="00C40EA0" w:rsidRPr="00931ED9">
        <w:rPr>
          <w:sz w:val="22"/>
        </w:rPr>
        <w:t xml:space="preserve">medidas estructurales que requieren </w:t>
      </w:r>
      <w:r w:rsidRPr="00931ED9">
        <w:rPr>
          <w:sz w:val="22"/>
        </w:rPr>
        <w:t>el respaldo federal.</w:t>
      </w:r>
    </w:p>
    <w:p w:rsidR="0088485A" w:rsidRPr="00931ED9" w:rsidRDefault="00C40EA0" w:rsidP="0088485A">
      <w:pPr>
        <w:jc w:val="both"/>
        <w:rPr>
          <w:sz w:val="22"/>
        </w:rPr>
      </w:pPr>
      <w:r w:rsidRPr="00931ED9">
        <w:rPr>
          <w:sz w:val="22"/>
        </w:rPr>
        <w:t>En estas condiciones, l</w:t>
      </w:r>
      <w:r w:rsidR="0088485A" w:rsidRPr="00931ED9">
        <w:rPr>
          <w:sz w:val="22"/>
        </w:rPr>
        <w:t>a integración de</w:t>
      </w:r>
      <w:r w:rsidR="00784EA5" w:rsidRPr="00931ED9">
        <w:rPr>
          <w:sz w:val="22"/>
        </w:rPr>
        <w:t xml:space="preserve"> la LXII Legislatura Federal, del</w:t>
      </w:r>
      <w:r w:rsidR="0088485A" w:rsidRPr="00931ED9">
        <w:rPr>
          <w:sz w:val="22"/>
        </w:rPr>
        <w:t xml:space="preserve"> Equipo de Transic</w:t>
      </w:r>
      <w:r w:rsidR="00784EA5" w:rsidRPr="00931ED9">
        <w:rPr>
          <w:sz w:val="22"/>
        </w:rPr>
        <w:t>ión del próximo Gobierno de la República</w:t>
      </w:r>
      <w:r w:rsidR="0088485A" w:rsidRPr="00931ED9">
        <w:rPr>
          <w:sz w:val="22"/>
        </w:rPr>
        <w:t xml:space="preserve"> y el proceso de análisis, discusión y aprobación de la Ley de Ingresos y el Presupuesto de Egresos de la Federación para 2013, representan una valiosa oportunidad para que la Conferenci</w:t>
      </w:r>
      <w:r w:rsidR="00784EA5" w:rsidRPr="00931ED9">
        <w:rPr>
          <w:sz w:val="22"/>
        </w:rPr>
        <w:t>a Nacional de Gobernadores exponga,</w:t>
      </w:r>
      <w:r w:rsidR="0088485A" w:rsidRPr="00931ED9">
        <w:rPr>
          <w:sz w:val="22"/>
        </w:rPr>
        <w:t xml:space="preserve"> </w:t>
      </w:r>
      <w:r w:rsidR="00784EA5" w:rsidRPr="00931ED9">
        <w:rPr>
          <w:sz w:val="22"/>
        </w:rPr>
        <w:t>ante esta instancias</w:t>
      </w:r>
      <w:r w:rsidR="0088485A" w:rsidRPr="00931ED9">
        <w:rPr>
          <w:sz w:val="22"/>
        </w:rPr>
        <w:t>, la posición y propuestas de las entidades federativas</w:t>
      </w:r>
      <w:r w:rsidRPr="00931ED9">
        <w:rPr>
          <w:sz w:val="22"/>
        </w:rPr>
        <w:t>,</w:t>
      </w:r>
      <w:r w:rsidR="0088485A" w:rsidRPr="00931ED9">
        <w:rPr>
          <w:sz w:val="22"/>
        </w:rPr>
        <w:t xml:space="preserve"> en torno a los retos antes referidos.</w:t>
      </w:r>
    </w:p>
    <w:p w:rsidR="0088485A" w:rsidRPr="00931ED9" w:rsidRDefault="0088485A" w:rsidP="0088485A">
      <w:pPr>
        <w:jc w:val="both"/>
        <w:rPr>
          <w:b/>
          <w:sz w:val="22"/>
        </w:rPr>
      </w:pPr>
      <w:r w:rsidRPr="00931ED9">
        <w:rPr>
          <w:b/>
          <w:sz w:val="22"/>
        </w:rPr>
        <w:t>II. Propuesta de Punto de Acuerdo</w:t>
      </w:r>
    </w:p>
    <w:p w:rsidR="007D3EB8" w:rsidRPr="00931ED9" w:rsidRDefault="00C40EA0" w:rsidP="0088485A">
      <w:pPr>
        <w:jc w:val="both"/>
        <w:rPr>
          <w:sz w:val="22"/>
        </w:rPr>
      </w:pPr>
      <w:r w:rsidRPr="00931ED9">
        <w:rPr>
          <w:sz w:val="22"/>
        </w:rPr>
        <w:t>Reunidos en Querétaro</w:t>
      </w:r>
      <w:r w:rsidR="0043597D" w:rsidRPr="00931ED9">
        <w:rPr>
          <w:sz w:val="22"/>
        </w:rPr>
        <w:t>, Querétaro, en el marco de la XLIII Reunión Plenaria</w:t>
      </w:r>
      <w:r w:rsidR="00604271" w:rsidRPr="00931ED9">
        <w:rPr>
          <w:sz w:val="22"/>
        </w:rPr>
        <w:t xml:space="preserve"> de la Conferencia Nacional de Gobernadores</w:t>
      </w:r>
      <w:r w:rsidR="00784EA5" w:rsidRPr="00931ED9">
        <w:rPr>
          <w:sz w:val="22"/>
        </w:rPr>
        <w:t xml:space="preserve"> (CONAGO)</w:t>
      </w:r>
      <w:r w:rsidR="00604271" w:rsidRPr="00931ED9">
        <w:rPr>
          <w:sz w:val="22"/>
        </w:rPr>
        <w:t>, l</w:t>
      </w:r>
      <w:r w:rsidR="0043597D" w:rsidRPr="00931ED9">
        <w:rPr>
          <w:sz w:val="22"/>
        </w:rPr>
        <w:t xml:space="preserve">os miembros de esta Conferencia acordamos </w:t>
      </w:r>
      <w:r w:rsidR="00226200" w:rsidRPr="00931ED9">
        <w:rPr>
          <w:sz w:val="22"/>
        </w:rPr>
        <w:t>conformar</w:t>
      </w:r>
      <w:r w:rsidR="00931ED9" w:rsidRPr="00931ED9">
        <w:rPr>
          <w:sz w:val="22"/>
        </w:rPr>
        <w:t xml:space="preserve"> un G</w:t>
      </w:r>
      <w:r w:rsidR="0043597D" w:rsidRPr="00931ED9">
        <w:rPr>
          <w:sz w:val="22"/>
        </w:rPr>
        <w:t>r</w:t>
      </w:r>
      <w:r w:rsidR="00931ED9" w:rsidRPr="00931ED9">
        <w:rPr>
          <w:sz w:val="22"/>
        </w:rPr>
        <w:t>upo T</w:t>
      </w:r>
      <w:r w:rsidR="0043597D" w:rsidRPr="00931ED9">
        <w:rPr>
          <w:sz w:val="22"/>
        </w:rPr>
        <w:t>écnico de trabajo para la integración y elaboración de estrategias y propuestas de las entidades federativas</w:t>
      </w:r>
      <w:r w:rsidR="00226200" w:rsidRPr="00931ED9">
        <w:rPr>
          <w:sz w:val="22"/>
        </w:rPr>
        <w:t xml:space="preserve">, </w:t>
      </w:r>
      <w:r w:rsidR="007D3EB8" w:rsidRPr="00931ED9">
        <w:rPr>
          <w:sz w:val="22"/>
        </w:rPr>
        <w:t>al tenor de las siguientes cláusulas:</w:t>
      </w:r>
    </w:p>
    <w:p w:rsidR="00226200" w:rsidRPr="00931ED9" w:rsidRDefault="007D3EB8" w:rsidP="0088485A">
      <w:pPr>
        <w:jc w:val="both"/>
        <w:rPr>
          <w:sz w:val="22"/>
        </w:rPr>
      </w:pPr>
      <w:r w:rsidRPr="00931ED9">
        <w:rPr>
          <w:b/>
          <w:sz w:val="22"/>
        </w:rPr>
        <w:t>Primera:</w:t>
      </w:r>
      <w:r w:rsidRPr="00931ED9">
        <w:rPr>
          <w:sz w:val="22"/>
        </w:rPr>
        <w:t xml:space="preserve"> E</w:t>
      </w:r>
      <w:r w:rsidR="00226200" w:rsidRPr="00931ED9">
        <w:rPr>
          <w:sz w:val="22"/>
        </w:rPr>
        <w:t xml:space="preserve">l propósito de </w:t>
      </w:r>
      <w:r w:rsidR="00784EA5" w:rsidRPr="00931ED9">
        <w:rPr>
          <w:sz w:val="22"/>
        </w:rPr>
        <w:t>este Grupo T</w:t>
      </w:r>
      <w:r w:rsidRPr="00931ED9">
        <w:rPr>
          <w:sz w:val="22"/>
        </w:rPr>
        <w:t xml:space="preserve">écnico será recoger opiniones, </w:t>
      </w:r>
      <w:r w:rsidR="00226200" w:rsidRPr="00931ED9">
        <w:rPr>
          <w:sz w:val="22"/>
        </w:rPr>
        <w:t>fijar posiciones y construir</w:t>
      </w:r>
      <w:r w:rsidR="00F75E9A">
        <w:rPr>
          <w:sz w:val="22"/>
        </w:rPr>
        <w:t>, en un clima de respeto, cooperación y armonía,</w:t>
      </w:r>
      <w:r w:rsidR="00226200" w:rsidRPr="00931ED9">
        <w:rPr>
          <w:sz w:val="22"/>
        </w:rPr>
        <w:t xml:space="preserve"> una Agenda Estratégica Federalista, que sirva de plataforma para la gestión y promoción de los legítimos intereses de consenso </w:t>
      </w:r>
      <w:r w:rsidR="00AE58EE" w:rsidRPr="00931ED9">
        <w:rPr>
          <w:sz w:val="22"/>
        </w:rPr>
        <w:t xml:space="preserve">de </w:t>
      </w:r>
      <w:r w:rsidR="00226200" w:rsidRPr="00931ED9">
        <w:rPr>
          <w:sz w:val="22"/>
        </w:rPr>
        <w:t xml:space="preserve">las entidades federativas, de cara a la integración de la LXII Legislatura Federal y del próximo Gobierno de la República, con énfasis en el proceso de análisis, discusión y aprobación de la Ley de Ingresos y </w:t>
      </w:r>
      <w:r w:rsidR="00784EA5" w:rsidRPr="00931ED9">
        <w:rPr>
          <w:sz w:val="22"/>
        </w:rPr>
        <w:t>d</w:t>
      </w:r>
      <w:r w:rsidR="00226200" w:rsidRPr="00931ED9">
        <w:rPr>
          <w:sz w:val="22"/>
        </w:rPr>
        <w:t>el Presupuesto de Egresos de la Federación para el Ejercicio Fiscal 2013</w:t>
      </w:r>
      <w:r w:rsidR="00931ED9" w:rsidRPr="00931ED9">
        <w:rPr>
          <w:sz w:val="22"/>
        </w:rPr>
        <w:t xml:space="preserve">, en un marco de respeto </w:t>
      </w:r>
      <w:r w:rsidR="00F75E9A">
        <w:rPr>
          <w:sz w:val="22"/>
        </w:rPr>
        <w:t xml:space="preserve">irrestricto </w:t>
      </w:r>
      <w:r w:rsidR="00931ED9" w:rsidRPr="00931ED9">
        <w:rPr>
          <w:sz w:val="22"/>
        </w:rPr>
        <w:t>a las atribuciones legales del Congreso de la Unión y del Ejecutivo Federal.</w:t>
      </w:r>
    </w:p>
    <w:p w:rsidR="007D3EB8" w:rsidRPr="00931ED9" w:rsidRDefault="007D3EB8" w:rsidP="0088485A">
      <w:pPr>
        <w:jc w:val="both"/>
        <w:rPr>
          <w:sz w:val="22"/>
        </w:rPr>
      </w:pPr>
      <w:r w:rsidRPr="00931ED9">
        <w:rPr>
          <w:b/>
          <w:sz w:val="22"/>
        </w:rPr>
        <w:t>Segunda:</w:t>
      </w:r>
      <w:r w:rsidRPr="00931ED9">
        <w:rPr>
          <w:sz w:val="22"/>
        </w:rPr>
        <w:t xml:space="preserve"> </w:t>
      </w:r>
      <w:r w:rsidR="006D6286" w:rsidRPr="00931ED9">
        <w:rPr>
          <w:sz w:val="22"/>
        </w:rPr>
        <w:t>El Grupo Técnico será coordinado por el Presidente de la Conferencia Nacional de Gobernadores y será auxiliado por el Coordinador de la Comisión de Hacienda de la propia Conferencia.</w:t>
      </w:r>
    </w:p>
    <w:p w:rsidR="006D6286" w:rsidRPr="00931ED9" w:rsidRDefault="006D6286" w:rsidP="0088485A">
      <w:pPr>
        <w:jc w:val="both"/>
        <w:rPr>
          <w:sz w:val="22"/>
        </w:rPr>
      </w:pPr>
      <w:r w:rsidRPr="00931ED9">
        <w:rPr>
          <w:b/>
          <w:sz w:val="22"/>
        </w:rPr>
        <w:t>Tercer</w:t>
      </w:r>
      <w:r w:rsidR="00784EA5" w:rsidRPr="00931ED9">
        <w:rPr>
          <w:b/>
          <w:sz w:val="22"/>
        </w:rPr>
        <w:t>a</w:t>
      </w:r>
      <w:r w:rsidRPr="00931ED9">
        <w:rPr>
          <w:b/>
          <w:sz w:val="22"/>
        </w:rPr>
        <w:t>:</w:t>
      </w:r>
      <w:r w:rsidRPr="00931ED9">
        <w:rPr>
          <w:sz w:val="22"/>
        </w:rPr>
        <w:t xml:space="preserve"> Todos los miembros de la Conferencia y/o sus representantes que así lo deseen podrán participar en los trabajos del Grupo Técnico.</w:t>
      </w:r>
    </w:p>
    <w:p w:rsidR="006D6286" w:rsidRDefault="006D6286" w:rsidP="0088485A">
      <w:pPr>
        <w:jc w:val="both"/>
        <w:rPr>
          <w:sz w:val="22"/>
        </w:rPr>
      </w:pPr>
      <w:r w:rsidRPr="00931ED9">
        <w:rPr>
          <w:b/>
          <w:sz w:val="22"/>
        </w:rPr>
        <w:t>Cuart</w:t>
      </w:r>
      <w:r w:rsidR="00784EA5" w:rsidRPr="00931ED9">
        <w:rPr>
          <w:b/>
          <w:sz w:val="22"/>
        </w:rPr>
        <w:t>a</w:t>
      </w:r>
      <w:r w:rsidRPr="00931ED9">
        <w:rPr>
          <w:b/>
          <w:sz w:val="22"/>
        </w:rPr>
        <w:t>:</w:t>
      </w:r>
      <w:r w:rsidRPr="00931ED9">
        <w:rPr>
          <w:sz w:val="22"/>
        </w:rPr>
        <w:t xml:space="preserve"> Se faculta al Presidente de la Conferencia Nacional de Gobernadores para establecer los tiempos, directrices y modalidades de los trabajos de este Grupo Técnico, quien podrá auxiliarse de los coordinadores de las comisiones de la CONAGO que considere pertinentes y designar al personal técnico de apoyo necesario para el mejor desempeño del referido </w:t>
      </w:r>
      <w:r w:rsidR="00784EA5" w:rsidRPr="00931ED9">
        <w:rPr>
          <w:sz w:val="22"/>
        </w:rPr>
        <w:t>G</w:t>
      </w:r>
      <w:r w:rsidRPr="00931ED9">
        <w:rPr>
          <w:sz w:val="22"/>
        </w:rPr>
        <w:t xml:space="preserve">rupo.  </w:t>
      </w:r>
    </w:p>
    <w:p w:rsidR="0088485A" w:rsidRPr="00AD5287" w:rsidRDefault="00931ED9" w:rsidP="00AD5287">
      <w:pPr>
        <w:jc w:val="center"/>
        <w:rPr>
          <w:sz w:val="22"/>
        </w:rPr>
      </w:pPr>
      <w:r>
        <w:rPr>
          <w:sz w:val="22"/>
        </w:rPr>
        <w:t>Querétaro, Querétaro, a 13 de julio de 2012</w:t>
      </w:r>
    </w:p>
    <w:sectPr w:rsidR="0088485A" w:rsidRPr="00AD5287" w:rsidSect="00E16D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60AC0"/>
    <w:multiLevelType w:val="hybridMultilevel"/>
    <w:tmpl w:val="40FA32D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52A20"/>
    <w:rsid w:val="00226200"/>
    <w:rsid w:val="002310B9"/>
    <w:rsid w:val="00243D05"/>
    <w:rsid w:val="00247991"/>
    <w:rsid w:val="002E6625"/>
    <w:rsid w:val="0043597D"/>
    <w:rsid w:val="00452A20"/>
    <w:rsid w:val="00492D20"/>
    <w:rsid w:val="00604271"/>
    <w:rsid w:val="006D6286"/>
    <w:rsid w:val="006F230C"/>
    <w:rsid w:val="00784EA5"/>
    <w:rsid w:val="007A5CF0"/>
    <w:rsid w:val="007C7E97"/>
    <w:rsid w:val="007D3EB8"/>
    <w:rsid w:val="00865601"/>
    <w:rsid w:val="0088485A"/>
    <w:rsid w:val="008C280D"/>
    <w:rsid w:val="008F7232"/>
    <w:rsid w:val="00931ED9"/>
    <w:rsid w:val="00A621E0"/>
    <w:rsid w:val="00A64A4C"/>
    <w:rsid w:val="00A92CC4"/>
    <w:rsid w:val="00AC5721"/>
    <w:rsid w:val="00AD5287"/>
    <w:rsid w:val="00AE58EE"/>
    <w:rsid w:val="00B63774"/>
    <w:rsid w:val="00C40EA0"/>
    <w:rsid w:val="00C80B67"/>
    <w:rsid w:val="00E16D97"/>
    <w:rsid w:val="00F40A36"/>
    <w:rsid w:val="00F6047E"/>
    <w:rsid w:val="00F7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Gallardo</dc:creator>
  <cp:lastModifiedBy>Adrian Gallardo</cp:lastModifiedBy>
  <cp:revision>20</cp:revision>
  <cp:lastPrinted>2012-07-11T19:19:00Z</cp:lastPrinted>
  <dcterms:created xsi:type="dcterms:W3CDTF">2012-07-11T15:50:00Z</dcterms:created>
  <dcterms:modified xsi:type="dcterms:W3CDTF">2012-07-12T17:47:00Z</dcterms:modified>
</cp:coreProperties>
</file>