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D97" w:rsidRDefault="00AB03F1" w:rsidP="00AB03F1">
      <w:pPr>
        <w:jc w:val="center"/>
        <w:rPr>
          <w:b/>
        </w:rPr>
      </w:pPr>
      <w:r>
        <w:rPr>
          <w:b/>
        </w:rPr>
        <w:t xml:space="preserve">Informe </w:t>
      </w:r>
      <w:r w:rsidR="002B2235">
        <w:rPr>
          <w:b/>
        </w:rPr>
        <w:t xml:space="preserve">ejecutivo </w:t>
      </w:r>
      <w:r>
        <w:rPr>
          <w:b/>
        </w:rPr>
        <w:t xml:space="preserve">del </w:t>
      </w:r>
      <w:r w:rsidR="002B2235">
        <w:rPr>
          <w:b/>
        </w:rPr>
        <w:t>G</w:t>
      </w:r>
      <w:r>
        <w:rPr>
          <w:b/>
        </w:rPr>
        <w:t xml:space="preserve">rupo de </w:t>
      </w:r>
      <w:r w:rsidR="002B2235">
        <w:rPr>
          <w:b/>
        </w:rPr>
        <w:t>T</w:t>
      </w:r>
      <w:r>
        <w:rPr>
          <w:b/>
        </w:rPr>
        <w:t xml:space="preserve">rabajo del </w:t>
      </w:r>
      <w:r w:rsidR="002B2235">
        <w:rPr>
          <w:b/>
        </w:rPr>
        <w:t>C</w:t>
      </w:r>
      <w:r>
        <w:rPr>
          <w:b/>
        </w:rPr>
        <w:t xml:space="preserve">orredor </w:t>
      </w:r>
      <w:r w:rsidR="002B2235">
        <w:rPr>
          <w:b/>
        </w:rPr>
        <w:t>E</w:t>
      </w:r>
      <w:r>
        <w:rPr>
          <w:b/>
        </w:rPr>
        <w:t xml:space="preserve">conómico del </w:t>
      </w:r>
      <w:r w:rsidR="002B2235">
        <w:rPr>
          <w:b/>
        </w:rPr>
        <w:t>N</w:t>
      </w:r>
      <w:r>
        <w:rPr>
          <w:b/>
        </w:rPr>
        <w:t>orte de la Comisión de Desarrollo Regional de la CONAGO</w:t>
      </w:r>
    </w:p>
    <w:p w:rsidR="00AB03F1" w:rsidRDefault="00AB03F1" w:rsidP="00AB03F1">
      <w:pPr>
        <w:jc w:val="both"/>
        <w:rPr>
          <w:b/>
        </w:rPr>
      </w:pPr>
    </w:p>
    <w:p w:rsidR="00AB03F1" w:rsidRDefault="00AB03F1" w:rsidP="00AB03F1">
      <w:pPr>
        <w:jc w:val="both"/>
      </w:pPr>
      <w:r>
        <w:t>En noviembre de 2010 se creó el Grupo de Trabajo del Corredor Económico del Norte, dentro de la Comisión de Desarrollo Regional.</w:t>
      </w:r>
    </w:p>
    <w:p w:rsidR="00AB03F1" w:rsidRDefault="00AB03F1" w:rsidP="00AB03F1">
      <w:pPr>
        <w:jc w:val="both"/>
      </w:pPr>
      <w:r>
        <w:t xml:space="preserve">Durante el año </w:t>
      </w:r>
      <w:r w:rsidR="00A0294E">
        <w:t xml:space="preserve">que se informa </w:t>
      </w:r>
      <w:r>
        <w:t>se realizaron tres encuentros del Grupo de Trabajo con la participación de los gobernadores o sus representantes de las siete entidades federativas que conforman este grupo.</w:t>
      </w:r>
    </w:p>
    <w:p w:rsidR="00845576" w:rsidRDefault="00AB03F1" w:rsidP="00AB03F1">
      <w:pPr>
        <w:jc w:val="both"/>
      </w:pPr>
      <w:r>
        <w:t xml:space="preserve">La primera reunión se celebró en Durango, Durango, en mayo de 2011, la segunda en Mazatlán, Sinaloa, en </w:t>
      </w:r>
      <w:r w:rsidR="000E5832">
        <w:t>junio</w:t>
      </w:r>
      <w:r>
        <w:t xml:space="preserve"> del mismo año, y la tercera en Zacatecas, Zacatecas</w:t>
      </w:r>
      <w:r w:rsidR="00845576">
        <w:t>, en septiembre de 2011.</w:t>
      </w:r>
    </w:p>
    <w:p w:rsidR="00845576" w:rsidRDefault="00845576" w:rsidP="00AB03F1">
      <w:pPr>
        <w:jc w:val="both"/>
      </w:pPr>
      <w:r>
        <w:t>A la fecha, se registran importantes avances, en torno a la Agenda de Trabajo acordada entre los gobernadores, entre los que destacan los siguientes:</w:t>
      </w:r>
    </w:p>
    <w:p w:rsidR="00AB03F1" w:rsidRDefault="00845576" w:rsidP="00AB03F1">
      <w:pPr>
        <w:pStyle w:val="Prrafodelista"/>
        <w:numPr>
          <w:ilvl w:val="0"/>
          <w:numId w:val="2"/>
        </w:numPr>
        <w:jc w:val="both"/>
      </w:pPr>
      <w:r>
        <w:t>Avance del 60 por ciento en l</w:t>
      </w:r>
      <w:r w:rsidR="00AB03F1">
        <w:t>a realización de</w:t>
      </w:r>
      <w:r>
        <w:t xml:space="preserve">l </w:t>
      </w:r>
      <w:r w:rsidR="00AB03F1">
        <w:t xml:space="preserve">Estudio sobre Necesidades de Infraestructura Estratégica y de </w:t>
      </w:r>
      <w:r>
        <w:t>75 por ciento en el Estudio sobre</w:t>
      </w:r>
      <w:r w:rsidR="00AB03F1">
        <w:t xml:space="preserve"> Competitividad y Vocaciones Productivas.</w:t>
      </w:r>
    </w:p>
    <w:p w:rsidR="00845576" w:rsidRDefault="00845576" w:rsidP="00AB03F1">
      <w:pPr>
        <w:pStyle w:val="Prrafodelista"/>
        <w:numPr>
          <w:ilvl w:val="0"/>
          <w:numId w:val="2"/>
        </w:numPr>
        <w:jc w:val="both"/>
      </w:pPr>
      <w:r>
        <w:t>Integración al 90 por ciento de la Cartera de Proyectos Estratégicos de Inversión Federal del Corredor Económico del Norte.</w:t>
      </w:r>
    </w:p>
    <w:p w:rsidR="00845576" w:rsidRDefault="00845576" w:rsidP="00AB03F1">
      <w:pPr>
        <w:pStyle w:val="Prrafodelista"/>
        <w:numPr>
          <w:ilvl w:val="0"/>
          <w:numId w:val="2"/>
        </w:numPr>
        <w:jc w:val="both"/>
      </w:pPr>
      <w:r>
        <w:t>Conformación de la Red Empresarial del Corredor Económico del Norte.</w:t>
      </w:r>
    </w:p>
    <w:p w:rsidR="00845576" w:rsidRDefault="00845576" w:rsidP="00AB03F1">
      <w:pPr>
        <w:pStyle w:val="Prrafodelista"/>
        <w:numPr>
          <w:ilvl w:val="0"/>
          <w:numId w:val="2"/>
        </w:numPr>
        <w:jc w:val="both"/>
      </w:pPr>
      <w:r>
        <w:t>Constitución, el pasado 26 de abril, del Fideicomiso del Corredor Económico del Norte en Nacional Financiera.</w:t>
      </w:r>
    </w:p>
    <w:p w:rsidR="00845576" w:rsidRDefault="00845576" w:rsidP="00845576">
      <w:pPr>
        <w:jc w:val="both"/>
      </w:pPr>
      <w:r>
        <w:t>Gracias al trabajo decidido de mis colegas gobernadores, con estos instrumentos, el Grupo de Trabajo del Corredor Económico del Norte está hoy en mejores condiciones para seguir impulsando la agenda común de desarrollo regional que nos hemos trazado. Destaco y reitero, en particular, el gran compromiso que todos los miembros de este grupo de trabajo tenemos para impulsar -como un proyecto estratégico de todos los estados- la modernización integral del Puerto de Mazatlán, que será la gran puerta del Corredor Económico del Norte.</w:t>
      </w:r>
    </w:p>
    <w:sectPr w:rsidR="00845576" w:rsidSect="00E16D9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14F5D"/>
    <w:multiLevelType w:val="hybridMultilevel"/>
    <w:tmpl w:val="E4505096"/>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1">
    <w:nsid w:val="615C63F5"/>
    <w:multiLevelType w:val="hybridMultilevel"/>
    <w:tmpl w:val="F7C6E93A"/>
    <w:lvl w:ilvl="0" w:tplc="C7FA5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B03F1"/>
    <w:rsid w:val="000E5832"/>
    <w:rsid w:val="002B2235"/>
    <w:rsid w:val="00845576"/>
    <w:rsid w:val="00A0294E"/>
    <w:rsid w:val="00AB03F1"/>
    <w:rsid w:val="00D562D8"/>
    <w:rsid w:val="00E16D97"/>
    <w:rsid w:val="00F04F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03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279</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Gallardo</dc:creator>
  <cp:lastModifiedBy>Adrian Gallardo</cp:lastModifiedBy>
  <cp:revision>3</cp:revision>
  <dcterms:created xsi:type="dcterms:W3CDTF">2012-07-12T17:58:00Z</dcterms:created>
  <dcterms:modified xsi:type="dcterms:W3CDTF">2012-07-12T18:35:00Z</dcterms:modified>
</cp:coreProperties>
</file>